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rsidP="008318DE">
      <w:pPr>
        <w:tabs>
          <w:tab w:val="left" w:pos="4284"/>
        </w:tabs>
        <w:rPr>
          <w:rFonts w:ascii="Arial" w:hAnsi="Arial" w:cs="Arial"/>
          <w:sz w:val="20"/>
          <w:szCs w:val="20"/>
        </w:rPr>
      </w:pPr>
      <w:r>
        <w:rPr>
          <w:rFonts w:ascii="Arial" w:hAnsi="Arial" w:cs="Arial"/>
          <w:sz w:val="20"/>
          <w:szCs w:val="20"/>
        </w:rPr>
        <w:t xml:space="preserve"> </w:t>
      </w:r>
      <w:r w:rsidR="008318DE">
        <w:rPr>
          <w:rFonts w:ascii="Arial" w:hAnsi="Arial" w:cs="Arial"/>
          <w:sz w:val="20"/>
          <w:szCs w:val="20"/>
        </w:rPr>
        <w:tab/>
      </w:r>
    </w:p>
    <w:p w:rsidR="008318DE" w:rsidRPr="00DF25C6" w:rsidRDefault="008318DE" w:rsidP="00DF25C6">
      <w:pPr>
        <w:tabs>
          <w:tab w:val="left" w:pos="990"/>
          <w:tab w:val="left" w:pos="1170"/>
        </w:tabs>
        <w:contextualSpacing/>
        <w:rPr>
          <w:rFonts w:ascii="Arial Narrow" w:hAnsi="Arial Narrow" w:cs="Arial"/>
          <w:b/>
          <w:color w:val="000000"/>
          <w:sz w:val="28"/>
          <w:szCs w:val="28"/>
        </w:rPr>
      </w:pP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14:anchorId="127DA692" wp14:editId="796BDCAB">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39FD7DB7" wp14:editId="4CCC970B">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07F5" w:rsidRDefault="006A07F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A07F5" w:rsidRPr="00524744" w:rsidRDefault="006A07F5" w:rsidP="00C64ACD">
                            <w:pPr>
                              <w:pStyle w:val="Header"/>
                              <w:rPr>
                                <w:rFonts w:cs="Arial"/>
                                <w:sz w:val="20"/>
                              </w:rPr>
                            </w:pPr>
                            <w:r w:rsidRPr="00524744">
                              <w:rPr>
                                <w:rFonts w:cs="Arial"/>
                                <w:sz w:val="20"/>
                              </w:rPr>
                              <w:t>Author: O.M.A</w:t>
                            </w:r>
                          </w:p>
                          <w:p w:rsidR="006A07F5" w:rsidRPr="00524744" w:rsidRDefault="006A07F5" w:rsidP="00C64ACD">
                            <w:pPr>
                              <w:pStyle w:val="Header"/>
                              <w:rPr>
                                <w:rFonts w:cs="Arial"/>
                                <w:sz w:val="20"/>
                              </w:rPr>
                            </w:pPr>
                            <w:r>
                              <w:rPr>
                                <w:rFonts w:cs="Arial"/>
                                <w:sz w:val="20"/>
                              </w:rPr>
                              <w:t>File Ref: ARC.12/08/27</w:t>
                            </w:r>
                          </w:p>
                          <w:p w:rsidR="006A07F5" w:rsidRPr="00524744" w:rsidRDefault="006A07F5" w:rsidP="00C64ACD">
                            <w:pPr>
                              <w:pStyle w:val="Header"/>
                              <w:rPr>
                                <w:rFonts w:cs="Arial"/>
                                <w:sz w:val="20"/>
                              </w:rPr>
                            </w:pPr>
                            <w:r w:rsidRPr="00524744">
                              <w:rPr>
                                <w:rFonts w:cs="Arial"/>
                                <w:sz w:val="20"/>
                              </w:rPr>
                              <w:t xml:space="preserve">Date: </w:t>
                            </w:r>
                            <w:r>
                              <w:rPr>
                                <w:rFonts w:cs="Arial"/>
                                <w:sz w:val="20"/>
                              </w:rPr>
                              <w:t>9 Sep 12</w:t>
                            </w:r>
                          </w:p>
                          <w:p w:rsidR="006A07F5" w:rsidRPr="004D0721" w:rsidRDefault="006A07F5"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6A07F5" w:rsidRDefault="006A07F5"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D7DB7"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A07F5" w:rsidRDefault="006A07F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A07F5" w:rsidRPr="00524744" w:rsidRDefault="006A07F5" w:rsidP="00C64ACD">
                      <w:pPr>
                        <w:pStyle w:val="Header"/>
                        <w:rPr>
                          <w:rFonts w:cs="Arial"/>
                          <w:sz w:val="20"/>
                        </w:rPr>
                      </w:pPr>
                      <w:r w:rsidRPr="00524744">
                        <w:rPr>
                          <w:rFonts w:cs="Arial"/>
                          <w:sz w:val="20"/>
                        </w:rPr>
                        <w:t>Author: O.M.A</w:t>
                      </w:r>
                    </w:p>
                    <w:p w:rsidR="006A07F5" w:rsidRPr="00524744" w:rsidRDefault="006A07F5" w:rsidP="00C64ACD">
                      <w:pPr>
                        <w:pStyle w:val="Header"/>
                        <w:rPr>
                          <w:rFonts w:cs="Arial"/>
                          <w:sz w:val="20"/>
                        </w:rPr>
                      </w:pPr>
                      <w:r>
                        <w:rPr>
                          <w:rFonts w:cs="Arial"/>
                          <w:sz w:val="20"/>
                        </w:rPr>
                        <w:t>File Ref: ARC.12/08/27</w:t>
                      </w:r>
                    </w:p>
                    <w:p w:rsidR="006A07F5" w:rsidRPr="00524744" w:rsidRDefault="006A07F5" w:rsidP="00C64ACD">
                      <w:pPr>
                        <w:pStyle w:val="Header"/>
                        <w:rPr>
                          <w:rFonts w:cs="Arial"/>
                          <w:sz w:val="20"/>
                        </w:rPr>
                      </w:pPr>
                      <w:r w:rsidRPr="00524744">
                        <w:rPr>
                          <w:rFonts w:cs="Arial"/>
                          <w:sz w:val="20"/>
                        </w:rPr>
                        <w:t xml:space="preserve">Date: </w:t>
                      </w:r>
                      <w:r>
                        <w:rPr>
                          <w:rFonts w:cs="Arial"/>
                          <w:sz w:val="20"/>
                        </w:rPr>
                        <w:t>9 Sep 12</w:t>
                      </w:r>
                    </w:p>
                    <w:p w:rsidR="006A07F5" w:rsidRPr="004D0721" w:rsidRDefault="006A07F5"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6A07F5" w:rsidRDefault="006A07F5"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6A07F5" w:rsidP="00C12C17">
      <w:pPr>
        <w:jc w:val="center"/>
        <w:rPr>
          <w:rFonts w:ascii="Arial Narrow" w:hAnsi="Arial Narrow" w:cs="Arial"/>
          <w:b/>
          <w:color w:val="FF0000"/>
          <w:sz w:val="32"/>
          <w:szCs w:val="32"/>
        </w:rPr>
      </w:pPr>
      <w:r>
        <w:rPr>
          <w:rFonts w:ascii="Arial Narrow" w:hAnsi="Arial Narrow" w:cs="Arial"/>
          <w:b/>
          <w:color w:val="FF0000"/>
          <w:sz w:val="32"/>
          <w:szCs w:val="32"/>
        </w:rPr>
        <w:t>RE-ADVERT</w:t>
      </w: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DF25C6" w:rsidRPr="00DF25C6" w:rsidRDefault="00997AE0" w:rsidP="00DF25C6">
      <w:pPr>
        <w:tabs>
          <w:tab w:val="left" w:pos="9150"/>
        </w:tabs>
        <w:spacing w:line="360" w:lineRule="auto"/>
        <w:rPr>
          <w:rFonts w:ascii="Calibri" w:hAnsi="Calibri" w:cs="Arial"/>
          <w:b/>
        </w:rPr>
      </w:pPr>
      <w:r>
        <w:rPr>
          <w:rFonts w:ascii="Arial Narrow" w:hAnsi="Arial Narrow" w:cs="Arial"/>
          <w:b/>
          <w:color w:val="000000"/>
        </w:rPr>
        <w:t xml:space="preserve">                                    </w:t>
      </w:r>
      <w:proofErr w:type="gramStart"/>
      <w:r w:rsidR="006A07F5">
        <w:rPr>
          <w:rFonts w:ascii="Arial Narrow" w:hAnsi="Arial Narrow" w:cs="Arial"/>
          <w:b/>
          <w:color w:val="000000"/>
        </w:rPr>
        <w:t>DESCRIPTIO</w:t>
      </w:r>
      <w:r>
        <w:rPr>
          <w:rFonts w:ascii="Arial Narrow" w:hAnsi="Arial Narrow" w:cs="Arial"/>
          <w:b/>
          <w:color w:val="000000"/>
        </w:rPr>
        <w:t>N</w:t>
      </w:r>
      <w:r w:rsidR="00DF25C6" w:rsidRPr="006A07F5">
        <w:rPr>
          <w:rFonts w:ascii="Arial Narrow" w:hAnsi="Arial Narrow" w:cs="Arial"/>
          <w:b/>
          <w:color w:val="000000"/>
        </w:rPr>
        <w:t xml:space="preserve"> :</w:t>
      </w:r>
      <w:proofErr w:type="gramEnd"/>
      <w:r w:rsidR="00DF25C6" w:rsidRPr="00DF25C6">
        <w:rPr>
          <w:rFonts w:ascii="Arial Narrow" w:hAnsi="Arial Narrow" w:cs="Arial"/>
          <w:b/>
          <w:color w:val="000000"/>
        </w:rPr>
        <w:t xml:space="preserve"> </w:t>
      </w:r>
      <w:r>
        <w:rPr>
          <w:rFonts w:ascii="Arial" w:hAnsi="Arial" w:cs="Arial"/>
          <w:b/>
        </w:rPr>
        <w:t xml:space="preserve">AGINITY PRO LICENSES </w:t>
      </w:r>
      <w:r w:rsidR="006A07F5">
        <w:rPr>
          <w:rFonts w:ascii="Arial" w:hAnsi="Arial" w:cs="Arial"/>
          <w:b/>
        </w:rPr>
        <w:t>FOR 33 USERS.</w:t>
      </w:r>
    </w:p>
    <w:p w:rsidR="00C12C17" w:rsidRPr="00DF25C6" w:rsidRDefault="00C12C17" w:rsidP="00CD59BC">
      <w:pPr>
        <w:tabs>
          <w:tab w:val="left" w:pos="990"/>
          <w:tab w:val="left" w:pos="1170"/>
        </w:tabs>
        <w:contextualSpacing/>
        <w:rPr>
          <w:rFonts w:ascii="Arial Narrow" w:hAnsi="Arial Narrow" w:cs="Arial"/>
          <w:b/>
          <w:color w:val="000000"/>
          <w:sz w:val="22"/>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DF25C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BE1F61" w:rsidP="00BE1F61">
      <w:pPr>
        <w:pStyle w:val="ListParagraph"/>
        <w:tabs>
          <w:tab w:val="left" w:pos="990"/>
          <w:tab w:val="left" w:pos="1170"/>
        </w:tabs>
        <w:ind w:left="-360"/>
        <w:contextualSpacing/>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00C12C17" w:rsidRPr="00894EA1">
        <w:rPr>
          <w:rFonts w:ascii="Arial Narrow" w:eastAsia="Calibri" w:hAnsi="Arial Narrow" w:cs="Arial"/>
          <w:b/>
          <w:sz w:val="28"/>
          <w:szCs w:val="28"/>
          <w:lang w:val="en-ZA"/>
        </w:rPr>
        <w:t>RFQ NO</w:t>
      </w:r>
      <w:r w:rsidR="00C12C17">
        <w:rPr>
          <w:rFonts w:ascii="Arial Narrow" w:eastAsia="Calibri" w:hAnsi="Arial Narrow" w:cs="Arial"/>
          <w:b/>
          <w:sz w:val="28"/>
          <w:szCs w:val="28"/>
          <w:lang w:val="en-ZA"/>
        </w:rPr>
        <w:t>:</w:t>
      </w:r>
      <w:r w:rsidR="00C12C17" w:rsidRPr="00894EA1">
        <w:rPr>
          <w:rFonts w:ascii="Arial Narrow" w:eastAsia="Calibri" w:hAnsi="Arial Narrow" w:cs="Arial"/>
          <w:b/>
          <w:sz w:val="28"/>
          <w:szCs w:val="28"/>
          <w:lang w:val="en-ZA"/>
        </w:rPr>
        <w:t xml:space="preserve"> </w:t>
      </w:r>
      <w:r w:rsidR="00997AE0">
        <w:rPr>
          <w:rFonts w:ascii="Arial Narrow" w:eastAsia="Calibri" w:hAnsi="Arial Narrow" w:cs="Arial"/>
          <w:b/>
          <w:sz w:val="28"/>
          <w:szCs w:val="28"/>
          <w:lang w:val="en-ZA"/>
        </w:rPr>
        <w:t>1505298</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Pr="008318DE" w:rsidRDefault="0065714E"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Pr>
          <w:rFonts w:ascii="Arial Narrow" w:eastAsia="Calibri" w:hAnsi="Arial Narrow" w:cs="Arial"/>
          <w:b/>
          <w:sz w:val="28"/>
          <w:szCs w:val="28"/>
          <w:lang w:val="en-ZA"/>
        </w:rPr>
        <w:t>CLOSING DATE AND TIME</w:t>
      </w:r>
      <w:r w:rsidRPr="008318DE">
        <w:rPr>
          <w:rFonts w:ascii="Arial Narrow" w:eastAsia="Calibri" w:hAnsi="Arial Narrow" w:cs="Arial"/>
          <w:b/>
          <w:color w:val="FF0000"/>
          <w:sz w:val="28"/>
          <w:szCs w:val="28"/>
          <w:lang w:val="en-ZA"/>
        </w:rPr>
        <w:t>:</w:t>
      </w:r>
      <w:r w:rsidR="006A07F5">
        <w:rPr>
          <w:rFonts w:ascii="Arial Narrow" w:eastAsia="Calibri" w:hAnsi="Arial Narrow" w:cs="Arial"/>
          <w:b/>
          <w:color w:val="FF0000"/>
          <w:sz w:val="28"/>
          <w:szCs w:val="28"/>
          <w:lang w:val="en-ZA"/>
        </w:rPr>
        <w:t xml:space="preserve"> 01 DECEM</w:t>
      </w:r>
      <w:r w:rsidR="009B1B8D" w:rsidRPr="008318DE">
        <w:rPr>
          <w:rFonts w:ascii="Arial Narrow" w:eastAsia="Calibri" w:hAnsi="Arial Narrow" w:cs="Arial"/>
          <w:b/>
          <w:color w:val="FF0000"/>
          <w:sz w:val="28"/>
          <w:szCs w:val="28"/>
          <w:lang w:val="en-ZA"/>
        </w:rPr>
        <w:t>BER 2022</w:t>
      </w:r>
      <w:r w:rsidR="00997AE0">
        <w:rPr>
          <w:rFonts w:ascii="Arial Narrow" w:eastAsia="Calibri" w:hAnsi="Arial Narrow" w:cs="Arial"/>
          <w:b/>
          <w:color w:val="FF0000"/>
          <w:sz w:val="28"/>
          <w:szCs w:val="28"/>
          <w:lang w:val="en-ZA"/>
        </w:rPr>
        <w:t xml:space="preserve"> AT 11H00</w:t>
      </w:r>
    </w:p>
    <w:p w:rsidR="00DB6342" w:rsidRPr="008318DE" w:rsidRDefault="00DB6342"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9B1B8D">
        <w:rPr>
          <w:rFonts w:ascii="Arial Narrow" w:eastAsia="Calibri" w:hAnsi="Arial Narrow" w:cs="Arial"/>
          <w:b/>
          <w:sz w:val="28"/>
          <w:szCs w:val="28"/>
          <w:lang w:val="en-ZA"/>
        </w:rPr>
        <w:t xml:space="preserve">NO.1 MOODERFONTEIN ROAD, SANDRINGHAM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E3CD4">
          <w:rPr>
            <w:noProof/>
            <w:webHidden/>
          </w:rPr>
          <w:t>3</w:t>
        </w:r>
        <w:r>
          <w:rPr>
            <w:noProof/>
            <w:webHidden/>
          </w:rPr>
          <w:fldChar w:fldCharType="end"/>
        </w:r>
      </w:hyperlink>
    </w:p>
    <w:p w:rsidR="00DB6342" w:rsidRDefault="006A07F5">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E3CD4">
          <w:rPr>
            <w:noProof/>
            <w:webHidden/>
          </w:rPr>
          <w:t>6</w:t>
        </w:r>
        <w:r w:rsidR="00DB6342">
          <w:rPr>
            <w:noProof/>
            <w:webHidden/>
          </w:rPr>
          <w:fldChar w:fldCharType="end"/>
        </w:r>
      </w:hyperlink>
    </w:p>
    <w:p w:rsidR="00DB6342" w:rsidRDefault="006A07F5">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E3CD4">
          <w:rPr>
            <w:noProof/>
            <w:webHidden/>
          </w:rPr>
          <w:t>7</w:t>
        </w:r>
        <w:r w:rsidR="00DB6342">
          <w:rPr>
            <w:noProof/>
            <w:webHidden/>
          </w:rPr>
          <w:fldChar w:fldCharType="end"/>
        </w:r>
      </w:hyperlink>
    </w:p>
    <w:p w:rsidR="00DB6342" w:rsidRDefault="006A07F5">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E3CD4">
          <w:rPr>
            <w:noProof/>
            <w:webHidden/>
          </w:rPr>
          <w:t>11</w:t>
        </w:r>
        <w:r w:rsidR="00DB6342">
          <w:rPr>
            <w:noProof/>
            <w:webHidden/>
          </w:rPr>
          <w:fldChar w:fldCharType="end"/>
        </w:r>
      </w:hyperlink>
    </w:p>
    <w:p w:rsidR="00DB6342" w:rsidRDefault="006A07F5">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E3CD4">
          <w:rPr>
            <w:noProof/>
            <w:webHidden/>
          </w:rPr>
          <w:t>13</w:t>
        </w:r>
        <w:r w:rsidR="00DB6342">
          <w:rPr>
            <w:noProof/>
            <w:webHidden/>
          </w:rPr>
          <w:fldChar w:fldCharType="end"/>
        </w:r>
      </w:hyperlink>
    </w:p>
    <w:p w:rsidR="00DB6342" w:rsidRDefault="006A07F5">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7E3CD4">
          <w:rPr>
            <w:noProof/>
            <w:webHidden/>
          </w:rPr>
          <w:t>19</w:t>
        </w:r>
        <w:r w:rsidR="00DB6342">
          <w:rPr>
            <w:noProof/>
            <w:webHidden/>
          </w:rPr>
          <w:fldChar w:fldCharType="end"/>
        </w:r>
      </w:hyperlink>
    </w:p>
    <w:p w:rsidR="00DB6342" w:rsidRDefault="006A07F5">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6A07F5">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6A07F5">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E3CD4">
          <w:rPr>
            <w:noProof/>
            <w:webHidden/>
          </w:rPr>
          <w:t>24</w:t>
        </w:r>
        <w:r w:rsidR="00DB6342">
          <w:rPr>
            <w:noProof/>
            <w:webHidden/>
          </w:rPr>
          <w:fldChar w:fldCharType="end"/>
        </w:r>
      </w:hyperlink>
    </w:p>
    <w:p w:rsidR="00DB6342" w:rsidRDefault="006A07F5">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E3CD4">
          <w:rPr>
            <w:noProof/>
            <w:webHidden/>
          </w:rPr>
          <w:t>26</w:t>
        </w:r>
        <w:r w:rsidR="00DB6342">
          <w:rPr>
            <w:noProof/>
            <w:webHidden/>
          </w:rPr>
          <w:fldChar w:fldCharType="end"/>
        </w:r>
      </w:hyperlink>
    </w:p>
    <w:p w:rsidR="00DB6342" w:rsidRDefault="006A07F5">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E3CD4">
          <w:rPr>
            <w:noProof/>
            <w:webHidden/>
          </w:rPr>
          <w:t>27</w:t>
        </w:r>
        <w:r w:rsidR="00DB6342">
          <w:rPr>
            <w:noProof/>
            <w:webHidden/>
          </w:rPr>
          <w:fldChar w:fldCharType="end"/>
        </w:r>
      </w:hyperlink>
    </w:p>
    <w:p w:rsidR="00DB6342" w:rsidRDefault="006A07F5">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E3CD4">
          <w:rPr>
            <w:noProof/>
            <w:webHidden/>
          </w:rPr>
          <w:t>31</w:t>
        </w:r>
        <w:r w:rsidR="00DB6342">
          <w:rPr>
            <w:noProof/>
            <w:webHidden/>
          </w:rPr>
          <w:fldChar w:fldCharType="end"/>
        </w:r>
      </w:hyperlink>
    </w:p>
    <w:p w:rsidR="00DB6342" w:rsidRDefault="006A07F5">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E3CD4">
          <w:rPr>
            <w:noProof/>
            <w:webHidden/>
          </w:rPr>
          <w:t>32</w:t>
        </w:r>
        <w:r w:rsidR="00DB6342">
          <w:rPr>
            <w:noProof/>
            <w:webHidden/>
          </w:rPr>
          <w:fldChar w:fldCharType="end"/>
        </w:r>
      </w:hyperlink>
    </w:p>
    <w:p w:rsidR="00DB6342" w:rsidRDefault="006A07F5">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E3CD4">
          <w:rPr>
            <w:noProof/>
            <w:webHidden/>
          </w:rPr>
          <w:t>33</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8"/>
        <w:gridCol w:w="15"/>
        <w:gridCol w:w="1286"/>
        <w:gridCol w:w="1871"/>
        <w:gridCol w:w="480"/>
        <w:gridCol w:w="142"/>
        <w:gridCol w:w="506"/>
        <w:gridCol w:w="1300"/>
        <w:gridCol w:w="533"/>
        <w:gridCol w:w="426"/>
        <w:gridCol w:w="781"/>
        <w:gridCol w:w="1352"/>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E81F5B" w:rsidRPr="00627C33" w:rsidTr="008318DE">
        <w:trPr>
          <w:trHeight w:val="228"/>
          <w:jc w:val="center"/>
        </w:trPr>
        <w:tc>
          <w:tcPr>
            <w:tcW w:w="1659"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9" w:type="dxa"/>
            <w:gridSpan w:val="3"/>
            <w:shd w:val="clear" w:color="auto" w:fill="auto"/>
            <w:vAlign w:val="bottom"/>
          </w:tcPr>
          <w:p w:rsidR="00BE1F61" w:rsidRPr="006A07F5" w:rsidRDefault="00BE1F61"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color w:val="FF0000"/>
                <w:sz w:val="20"/>
                <w:lang w:val="en-GB"/>
              </w:rPr>
            </w:pPr>
          </w:p>
          <w:p w:rsidR="00BE1F61" w:rsidRPr="00997AE0"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color w:val="FF0000"/>
                <w:sz w:val="20"/>
                <w:lang w:val="en-GB"/>
              </w:rPr>
            </w:pPr>
            <w:r w:rsidRPr="00997AE0">
              <w:rPr>
                <w:rFonts w:ascii="Arial Narrow" w:hAnsi="Arial Narrow"/>
                <w:b/>
                <w:color w:val="000000" w:themeColor="text1"/>
                <w:sz w:val="20"/>
                <w:lang w:val="en-GB"/>
              </w:rPr>
              <w:t xml:space="preserve">RFQ </w:t>
            </w:r>
            <w:r w:rsidR="002127F6" w:rsidRPr="00997AE0">
              <w:rPr>
                <w:rFonts w:ascii="Arial Narrow" w:hAnsi="Arial Narrow"/>
                <w:b/>
                <w:color w:val="000000" w:themeColor="text1"/>
                <w:sz w:val="20"/>
                <w:lang w:val="en-GB"/>
              </w:rPr>
              <w:t>No:</w:t>
            </w:r>
            <w:r w:rsidR="006A07F5" w:rsidRPr="00997AE0">
              <w:rPr>
                <w:rFonts w:ascii="Arial Narrow" w:hAnsi="Arial Narrow"/>
                <w:b/>
                <w:color w:val="000000" w:themeColor="text1"/>
                <w:sz w:val="20"/>
                <w:lang w:val="en-GB"/>
              </w:rPr>
              <w:t xml:space="preserve"> </w:t>
            </w:r>
            <w:r w:rsidR="00997AE0" w:rsidRPr="00997AE0">
              <w:rPr>
                <w:rFonts w:ascii="Arial Narrow" w:hAnsi="Arial Narrow"/>
                <w:b/>
                <w:color w:val="000000" w:themeColor="text1"/>
                <w:sz w:val="20"/>
                <w:lang w:val="en-GB"/>
              </w:rPr>
              <w:t>1505298</w:t>
            </w:r>
          </w:p>
        </w:tc>
        <w:tc>
          <w:tcPr>
            <w:tcW w:w="235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w:t>
            </w:r>
            <w:r w:rsidR="008318DE">
              <w:rPr>
                <w:rFonts w:ascii="Arial Narrow" w:hAnsi="Arial Narrow"/>
                <w:sz w:val="20"/>
                <w:lang w:val="en-GB"/>
              </w:rPr>
              <w:t xml:space="preserve">G DATE: </w:t>
            </w:r>
          </w:p>
        </w:tc>
        <w:tc>
          <w:tcPr>
            <w:tcW w:w="1948"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6A07F5">
              <w:rPr>
                <w:rFonts w:ascii="Arial Narrow" w:hAnsi="Arial Narrow"/>
                <w:b/>
                <w:sz w:val="20"/>
                <w:lang w:val="en-GB"/>
              </w:rPr>
              <w:t>01 DECEM</w:t>
            </w:r>
            <w:r w:rsidR="009B1B8D">
              <w:rPr>
                <w:rFonts w:ascii="Arial Narrow" w:hAnsi="Arial Narrow"/>
                <w:b/>
                <w:sz w:val="20"/>
                <w:lang w:val="en-GB"/>
              </w:rPr>
              <w:t>BER 2022</w:t>
            </w:r>
          </w:p>
        </w:tc>
        <w:tc>
          <w:tcPr>
            <w:tcW w:w="1740"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2" w:type="dxa"/>
            <w:shd w:val="clear" w:color="auto" w:fill="auto"/>
            <w:vAlign w:val="bottom"/>
          </w:tcPr>
          <w:p w:rsidR="00A86B57" w:rsidRPr="00A86B57" w:rsidRDefault="00E81F5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9B1B8D">
        <w:trPr>
          <w:trHeight w:val="228"/>
          <w:jc w:val="center"/>
        </w:trPr>
        <w:tc>
          <w:tcPr>
            <w:tcW w:w="1659"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30" w:type="dxa"/>
            <w:gridSpan w:val="12"/>
            <w:tcBorders>
              <w:bottom w:val="single" w:sz="4" w:space="0" w:color="auto"/>
            </w:tcBorders>
            <w:shd w:val="clear" w:color="auto" w:fill="auto"/>
            <w:vAlign w:val="bottom"/>
          </w:tcPr>
          <w:p w:rsidR="00DF25C6" w:rsidRPr="00DF25C6" w:rsidRDefault="006A07F5" w:rsidP="00DF25C6">
            <w:pPr>
              <w:tabs>
                <w:tab w:val="left" w:pos="9150"/>
              </w:tabs>
              <w:spacing w:line="360" w:lineRule="auto"/>
              <w:rPr>
                <w:rFonts w:ascii="Calibri" w:hAnsi="Calibri" w:cs="Arial"/>
                <w:b/>
                <w:sz w:val="20"/>
                <w:szCs w:val="20"/>
              </w:rPr>
            </w:pPr>
            <w:r>
              <w:rPr>
                <w:rFonts w:ascii="Arial Narrow" w:hAnsi="Arial Narrow" w:cs="Arial"/>
                <w:b/>
                <w:color w:val="000000"/>
                <w:sz w:val="22"/>
                <w:szCs w:val="22"/>
              </w:rPr>
              <w:t xml:space="preserve">Aginity pro </w:t>
            </w:r>
            <w:r w:rsidR="00997AE0">
              <w:rPr>
                <w:rFonts w:ascii="Arial Narrow" w:hAnsi="Arial Narrow" w:cs="Arial"/>
                <w:b/>
                <w:color w:val="000000"/>
                <w:sz w:val="22"/>
                <w:szCs w:val="22"/>
              </w:rPr>
              <w:t>licenses</w:t>
            </w:r>
            <w:r>
              <w:rPr>
                <w:rFonts w:ascii="Arial Narrow" w:hAnsi="Arial Narrow" w:cs="Arial"/>
                <w:b/>
                <w:color w:val="000000"/>
                <w:sz w:val="22"/>
                <w:szCs w:val="22"/>
              </w:rPr>
              <w:t xml:space="preserve"> for 33 users.</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E81F5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No. 1 </w:t>
            </w:r>
            <w:proofErr w:type="spellStart"/>
            <w:r>
              <w:rPr>
                <w:rFonts w:ascii="Arial Narrow" w:hAnsi="Arial Narrow"/>
                <w:b/>
                <w:sz w:val="20"/>
                <w:lang w:val="en-GB"/>
              </w:rPr>
              <w:t>Mooderfontein</w:t>
            </w:r>
            <w:proofErr w:type="spellEnd"/>
            <w:r>
              <w:rPr>
                <w:rFonts w:ascii="Arial Narrow" w:hAnsi="Arial Narrow"/>
                <w:b/>
                <w:sz w:val="20"/>
                <w:lang w:val="en-GB"/>
              </w:rPr>
              <w:t xml:space="preserve"> Road</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E81F5B" w:rsidRDefault="00E81F5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Sandringham</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rsidTr="009B1B8D">
        <w:trPr>
          <w:trHeight w:val="413"/>
          <w:jc w:val="center"/>
        </w:trPr>
        <w:tc>
          <w:tcPr>
            <w:tcW w:w="5469"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20"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E81F5B" w:rsidRPr="00627C33" w:rsidTr="009B1B8D">
        <w:trPr>
          <w:trHeight w:val="302"/>
          <w:jc w:val="center"/>
        </w:trPr>
        <w:tc>
          <w:tcPr>
            <w:tcW w:w="231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57" w:type="dxa"/>
            <w:gridSpan w:val="2"/>
            <w:tcBorders>
              <w:top w:val="single" w:sz="4" w:space="0" w:color="auto"/>
            </w:tcBorders>
            <w:shd w:val="clear" w:color="auto" w:fill="auto"/>
            <w:vAlign w:val="bottom"/>
          </w:tcPr>
          <w:p w:rsidR="00A86B57" w:rsidRDefault="00DD64DD"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By Email</w:t>
            </w:r>
          </w:p>
        </w:tc>
        <w:tc>
          <w:tcPr>
            <w:tcW w:w="338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33"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81F5B" w:rsidRPr="00627C33" w:rsidTr="009B1B8D">
        <w:trPr>
          <w:trHeight w:val="302"/>
          <w:jc w:val="center"/>
        </w:trPr>
        <w:tc>
          <w:tcPr>
            <w:tcW w:w="231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57" w:type="dxa"/>
            <w:gridSpan w:val="2"/>
            <w:tcBorders>
              <w:top w:val="single" w:sz="4" w:space="0" w:color="auto"/>
            </w:tcBorders>
            <w:shd w:val="clear" w:color="auto" w:fill="auto"/>
            <w:vAlign w:val="bottom"/>
          </w:tcPr>
          <w:p w:rsidR="00A86B57" w:rsidRDefault="00BD1BB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38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33" w:type="dxa"/>
            <w:gridSpan w:val="2"/>
            <w:tcBorders>
              <w:top w:val="single" w:sz="4" w:space="0" w:color="auto"/>
            </w:tcBorders>
            <w:shd w:val="clear" w:color="auto" w:fill="auto"/>
            <w:vAlign w:val="bottom"/>
          </w:tcPr>
          <w:p w:rsidR="00A86B57" w:rsidRDefault="00A86B57"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81F5B" w:rsidRPr="00627C33" w:rsidTr="009B1B8D">
        <w:trPr>
          <w:trHeight w:val="302"/>
          <w:jc w:val="center"/>
        </w:trPr>
        <w:tc>
          <w:tcPr>
            <w:tcW w:w="231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57"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38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33"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81F5B" w:rsidRPr="00627C33" w:rsidTr="009B1B8D">
        <w:trPr>
          <w:trHeight w:val="268"/>
          <w:jc w:val="center"/>
        </w:trPr>
        <w:tc>
          <w:tcPr>
            <w:tcW w:w="231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57" w:type="dxa"/>
            <w:gridSpan w:val="2"/>
            <w:tcBorders>
              <w:top w:val="single" w:sz="4" w:space="0" w:color="auto"/>
            </w:tcBorders>
            <w:shd w:val="clear" w:color="auto" w:fill="auto"/>
            <w:vAlign w:val="bottom"/>
          </w:tcPr>
          <w:p w:rsidR="00A86B57" w:rsidRDefault="006A07F5"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8318DE" w:rsidRPr="006C7A44">
                <w:rPr>
                  <w:rStyle w:val="Hyperlink"/>
                  <w:rFonts w:ascii="Arial Narrow" w:hAnsi="Arial Narrow"/>
                  <w:b/>
                  <w:sz w:val="20"/>
                  <w:lang w:val="en-GB"/>
                </w:rPr>
                <w:t>ProcurementCorporate@nhls.ac.za</w:t>
              </w:r>
            </w:hyperlink>
          </w:p>
        </w:tc>
        <w:tc>
          <w:tcPr>
            <w:tcW w:w="338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33"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9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9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9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81F5B"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9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3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5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9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81F5B"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9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3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5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340"/>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9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9B1B8D">
        <w:trPr>
          <w:trHeight w:val="299"/>
          <w:jc w:val="center"/>
        </w:trPr>
        <w:tc>
          <w:tcPr>
            <w:tcW w:w="229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9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81F5B" w:rsidRPr="00627C33" w:rsidTr="009B1B8D">
        <w:trPr>
          <w:trHeight w:val="57"/>
          <w:jc w:val="center"/>
        </w:trPr>
        <w:tc>
          <w:tcPr>
            <w:tcW w:w="229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71"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28" w:type="dxa"/>
            <w:gridSpan w:val="3"/>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0"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092"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E81F5B" w:rsidRPr="00627C33" w:rsidTr="009B1B8D">
        <w:trPr>
          <w:trHeight w:val="340"/>
          <w:jc w:val="center"/>
        </w:trPr>
        <w:tc>
          <w:tcPr>
            <w:tcW w:w="229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72"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A07F5">
              <w:rPr>
                <w:rFonts w:ascii="Arial Narrow" w:hAnsi="Arial Narrow"/>
                <w:sz w:val="20"/>
                <w:lang w:val="en-GB"/>
              </w:rPr>
            </w:r>
            <w:r w:rsidR="006A07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A07F5">
              <w:rPr>
                <w:rFonts w:ascii="Arial Narrow" w:hAnsi="Arial Narrow"/>
                <w:sz w:val="20"/>
                <w:lang w:val="en-GB"/>
              </w:rPr>
            </w:r>
            <w:r w:rsidR="006A07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61"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59"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A07F5">
              <w:rPr>
                <w:rFonts w:ascii="Arial Narrow" w:hAnsi="Arial Narrow"/>
                <w:sz w:val="20"/>
                <w:lang w:val="en-GB"/>
              </w:rPr>
            </w:r>
            <w:r w:rsidR="006A07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A07F5">
              <w:rPr>
                <w:rFonts w:ascii="Arial Narrow" w:hAnsi="Arial Narrow"/>
                <w:sz w:val="20"/>
                <w:lang w:val="en-GB"/>
              </w:rPr>
            </w:r>
            <w:r w:rsidR="006A07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E81F5B" w:rsidRPr="00627C33" w:rsidTr="009B1B8D">
        <w:trPr>
          <w:trHeight w:val="864"/>
          <w:jc w:val="center"/>
        </w:trPr>
        <w:tc>
          <w:tcPr>
            <w:tcW w:w="229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72"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A07F5">
              <w:rPr>
                <w:rFonts w:ascii="Arial Narrow" w:hAnsi="Arial Narrow"/>
                <w:sz w:val="20"/>
                <w:lang w:val="en-GB"/>
              </w:rPr>
            </w:r>
            <w:r w:rsidR="006A07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6A07F5">
              <w:rPr>
                <w:rFonts w:ascii="Arial Narrow" w:hAnsi="Arial Narrow"/>
                <w:sz w:val="20"/>
                <w:lang w:val="en-GB"/>
              </w:rPr>
            </w:r>
            <w:r w:rsidR="006A07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61"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59"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A07F5">
              <w:rPr>
                <w:rFonts w:ascii="Arial Narrow" w:hAnsi="Arial Narrow"/>
                <w:sz w:val="20"/>
                <w:lang w:val="en-GB"/>
              </w:rPr>
            </w:r>
            <w:r w:rsidR="006A07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A07F5">
              <w:rPr>
                <w:rFonts w:ascii="Arial Narrow" w:hAnsi="Arial Narrow"/>
                <w:sz w:val="20"/>
                <w:lang w:val="en-GB"/>
              </w:rPr>
            </w:r>
            <w:r w:rsidR="006A07F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07F5">
              <w:rPr>
                <w:rFonts w:ascii="Arial Narrow" w:hAnsi="Arial Narrow"/>
                <w:sz w:val="20"/>
                <w:lang w:val="en-GB"/>
              </w:rPr>
            </w:r>
            <w:r w:rsidR="006A07F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07F5">
              <w:rPr>
                <w:rFonts w:ascii="Arial Narrow" w:hAnsi="Arial Narrow"/>
                <w:sz w:val="20"/>
                <w:lang w:val="en-GB"/>
              </w:rPr>
            </w:r>
            <w:r w:rsidR="006A07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07F5">
              <w:rPr>
                <w:rFonts w:ascii="Arial Narrow" w:hAnsi="Arial Narrow"/>
                <w:sz w:val="20"/>
                <w:lang w:val="en-GB"/>
              </w:rPr>
            </w:r>
            <w:r w:rsidR="006A07F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07F5">
              <w:rPr>
                <w:rFonts w:ascii="Arial Narrow" w:hAnsi="Arial Narrow"/>
                <w:sz w:val="20"/>
                <w:lang w:val="en-GB"/>
              </w:rPr>
            </w:r>
            <w:r w:rsidR="006A07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07F5">
              <w:rPr>
                <w:rFonts w:ascii="Arial Narrow" w:hAnsi="Arial Narrow"/>
                <w:sz w:val="20"/>
                <w:lang w:val="en-GB"/>
              </w:rPr>
            </w:r>
            <w:r w:rsidR="006A07F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07F5">
              <w:rPr>
                <w:rFonts w:ascii="Arial Narrow" w:hAnsi="Arial Narrow"/>
                <w:sz w:val="20"/>
                <w:lang w:val="en-GB"/>
              </w:rPr>
            </w:r>
            <w:r w:rsidR="006A07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07F5">
              <w:rPr>
                <w:rFonts w:ascii="Arial Narrow" w:hAnsi="Arial Narrow"/>
                <w:sz w:val="20"/>
                <w:lang w:val="en-GB"/>
              </w:rPr>
            </w:r>
            <w:r w:rsidR="006A07F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07F5">
              <w:rPr>
                <w:rFonts w:ascii="Arial Narrow" w:hAnsi="Arial Narrow"/>
                <w:sz w:val="20"/>
                <w:lang w:val="en-GB"/>
              </w:rPr>
            </w:r>
            <w:r w:rsidR="006A07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07F5">
              <w:rPr>
                <w:rFonts w:ascii="Arial Narrow" w:hAnsi="Arial Narrow"/>
                <w:sz w:val="20"/>
                <w:lang w:val="en-GB"/>
              </w:rPr>
            </w:r>
            <w:r w:rsidR="006A07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A07F5">
              <w:rPr>
                <w:rFonts w:ascii="Arial Narrow" w:hAnsi="Arial Narrow"/>
                <w:sz w:val="20"/>
                <w:lang w:val="en-GB"/>
              </w:rPr>
            </w:r>
            <w:r w:rsidR="006A07F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lastRenderedPageBreak/>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6A07F5">
        <w:rPr>
          <w:rFonts w:ascii="Arial Narrow" w:hAnsi="Arial Narrow"/>
          <w:b/>
        </w:rPr>
        <w:t>, NO.1 MOODERFONTEIN ROAD SANDRINGHAM.</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The Bidder accepts the above terms and conditions and the General Conditions of Contract </w:t>
            </w:r>
            <w:r w:rsidRPr="003D03F4">
              <w:rPr>
                <w:rFonts w:ascii="Arial Narrow" w:hAnsi="Arial Narrow"/>
                <w:sz w:val="20"/>
              </w:rPr>
              <w:lastRenderedPageBreak/>
              <w:t>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lastRenderedPageBreak/>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B006B0" w:rsidRDefault="00001F5E" w:rsidP="00B006B0">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B006B0" w:rsidRDefault="0083651C" w:rsidP="00B006B0">
      <w:pPr>
        <w:keepNext/>
        <w:jc w:val="center"/>
        <w:outlineLvl w:val="1"/>
        <w:rPr>
          <w:rFonts w:ascii="Arial Narrow" w:hAnsi="Arial Narrow"/>
          <w:b/>
          <w:szCs w:val="20"/>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5E6DDC" w:rsidRPr="00B006B0" w:rsidRDefault="0083651C" w:rsidP="00B006B0">
      <w:pPr>
        <w:ind w:left="1440" w:hanging="1440"/>
        <w:jc w:val="both"/>
        <w:rPr>
          <w:rFonts w:ascii="Arial Narrow" w:hAnsi="Arial Narrow"/>
          <w:b/>
          <w:sz w:val="22"/>
          <w:szCs w:val="22"/>
        </w:rPr>
      </w:pPr>
      <w:r w:rsidRPr="00804C98">
        <w:rPr>
          <w:rFonts w:ascii="Arial Narrow" w:hAnsi="Arial Narrow"/>
          <w:b/>
          <w:sz w:val="22"/>
          <w:szCs w:val="22"/>
        </w:rPr>
        <w:tab/>
        <w:t>IN CASES WHERE DIFFERENT DELIVERY POINTS INFLUENCE THE PRICING, A SEPARATE PRICING SCHEDULE MUST BE SU</w:t>
      </w:r>
      <w:r w:rsidR="00B006B0">
        <w:rPr>
          <w:rFonts w:ascii="Arial Narrow" w:hAnsi="Arial Narrow"/>
          <w:b/>
          <w:sz w:val="22"/>
          <w:szCs w:val="22"/>
        </w:rPr>
        <w:t>BMITTED FOR EACH DELIVERY POINT.</w:t>
      </w:r>
    </w:p>
    <w:p w:rsidR="00BE1F61" w:rsidRDefault="00BE1F61" w:rsidP="005E6DDC">
      <w:pPr>
        <w:rPr>
          <w:u w:val="single"/>
        </w:rPr>
      </w:pPr>
    </w:p>
    <w:p w:rsidR="007E0356" w:rsidRPr="00B006B0" w:rsidRDefault="007E0356" w:rsidP="007E0356">
      <w:pPr>
        <w:tabs>
          <w:tab w:val="left" w:pos="9150"/>
        </w:tabs>
        <w:spacing w:line="360" w:lineRule="auto"/>
        <w:rPr>
          <w:rFonts w:ascii="Calibri" w:hAnsi="Calibri" w:cs="Arial"/>
          <w:b/>
          <w:sz w:val="20"/>
          <w:szCs w:val="20"/>
          <w:u w:val="single"/>
        </w:rPr>
      </w:pPr>
      <w:r w:rsidRPr="00B006B0">
        <w:rPr>
          <w:rFonts w:ascii="Calibri" w:hAnsi="Calibri" w:cs="Arial"/>
          <w:b/>
          <w:u w:val="single"/>
        </w:rPr>
        <w:t>SPECIFICATION:</w:t>
      </w:r>
      <w:r w:rsidRPr="00B006B0">
        <w:rPr>
          <w:rFonts w:ascii="Calibri" w:hAnsi="Calibri" w:cs="Arial"/>
          <w:b/>
          <w:sz w:val="20"/>
          <w:u w:val="single"/>
        </w:rPr>
        <w:t xml:space="preserve">  </w:t>
      </w:r>
      <w:r w:rsidR="006A07F5" w:rsidRPr="00B006B0">
        <w:rPr>
          <w:rFonts w:ascii="Arial" w:hAnsi="Arial" w:cs="Arial"/>
          <w:b/>
          <w:sz w:val="20"/>
          <w:szCs w:val="20"/>
          <w:u w:val="single"/>
        </w:rPr>
        <w:t xml:space="preserve">AGINITY PRO LICENCE FOR 33 </w:t>
      </w:r>
      <w:r w:rsidR="00B006B0" w:rsidRPr="00B006B0">
        <w:rPr>
          <w:rFonts w:ascii="Arial" w:hAnsi="Arial" w:cs="Arial"/>
          <w:b/>
          <w:sz w:val="20"/>
          <w:szCs w:val="20"/>
          <w:u w:val="single"/>
        </w:rPr>
        <w:t>USERS.</w:t>
      </w:r>
    </w:p>
    <w:p w:rsidR="00B1503D" w:rsidRDefault="00B1503D" w:rsidP="00B1503D">
      <w:pPr>
        <w:tabs>
          <w:tab w:val="left" w:pos="9150"/>
        </w:tabs>
        <w:spacing w:line="360" w:lineRule="auto"/>
        <w:rPr>
          <w:rFonts w:ascii="Calibri" w:hAnsi="Calibri"/>
          <w:sz w:val="20"/>
        </w:rPr>
      </w:pPr>
    </w:p>
    <w:p w:rsidR="006A07F5" w:rsidRPr="008C5D64" w:rsidRDefault="006A07F5" w:rsidP="006A07F5">
      <w:pPr>
        <w:spacing w:line="360" w:lineRule="auto"/>
        <w:rPr>
          <w:rFonts w:ascii="Calibri" w:hAnsi="Calibri" w:cs="Arial"/>
          <w:b/>
          <w:color w:val="FF0000"/>
          <w:sz w:val="28"/>
          <w:szCs w:val="28"/>
        </w:rPr>
      </w:pPr>
      <w:r w:rsidRPr="008C5D64">
        <w:rPr>
          <w:rFonts w:ascii="Calibri" w:hAnsi="Calibri" w:cs="Arial"/>
          <w:b/>
          <w:color w:val="FF0000"/>
          <w:sz w:val="28"/>
          <w:szCs w:val="28"/>
        </w:rPr>
        <w:t>NOTE:  THE PRICING MUST BE SUBMITTED IN A SEPARATE ENVELOPE.</w:t>
      </w:r>
      <w:bookmarkStart w:id="4" w:name="_Toc489364317"/>
    </w:p>
    <w:p w:rsidR="006A07F5" w:rsidRPr="00C731BC" w:rsidRDefault="006A07F5" w:rsidP="006A07F5">
      <w:pPr>
        <w:spacing w:line="360" w:lineRule="auto"/>
        <w:rPr>
          <w:rFonts w:ascii="Calibri" w:hAnsi="Calibri" w:cs="Arial"/>
          <w:color w:val="000080"/>
          <w:sz w:val="20"/>
        </w:rPr>
      </w:pPr>
      <w:r w:rsidRPr="00977961">
        <w:rPr>
          <w:rFonts w:ascii="Calibri" w:hAnsi="Calibri" w:cs="Arial"/>
          <w:color w:val="000080"/>
          <w:sz w:val="20"/>
        </w:rPr>
        <w:t>Pricing</w:t>
      </w:r>
      <w:bookmarkEnd w:id="4"/>
    </w:p>
    <w:p w:rsidR="006A07F5" w:rsidRDefault="006A07F5" w:rsidP="006A07F5">
      <w:pPr>
        <w:rPr>
          <w:rFonts w:ascii="Calibri" w:hAnsi="Calibri" w:cs="Arial"/>
          <w:sz w:val="20"/>
          <w:szCs w:val="20"/>
        </w:rPr>
      </w:pPr>
      <w:r w:rsidRPr="004D6822">
        <w:rPr>
          <w:rFonts w:ascii="Calibri" w:hAnsi="Calibri" w:cs="Arial"/>
          <w:sz w:val="20"/>
          <w:szCs w:val="20"/>
        </w:rPr>
        <w:t xml:space="preserve">Please indicate the costs related to </w:t>
      </w:r>
      <w:r>
        <w:rPr>
          <w:rFonts w:ascii="Calibri" w:hAnsi="Calibri" w:cs="Arial"/>
          <w:sz w:val="20"/>
        </w:rPr>
        <w:t>Aginity Pro Licenses for 33 users</w:t>
      </w:r>
      <w:r>
        <w:rPr>
          <w:rFonts w:ascii="Calibri" w:hAnsi="Calibri" w:cs="Arial"/>
          <w:sz w:val="20"/>
          <w:szCs w:val="20"/>
        </w:rPr>
        <w:t>.</w:t>
      </w:r>
    </w:p>
    <w:p w:rsidR="006A07F5" w:rsidRDefault="006A07F5" w:rsidP="006A07F5">
      <w:pPr>
        <w:rPr>
          <w:rFonts w:ascii="Calibri" w:hAnsi="Calibri" w:cs="Arial"/>
          <w:color w:val="1D1B11"/>
          <w:sz w:val="20"/>
          <w:szCs w:val="20"/>
        </w:rPr>
      </w:pPr>
    </w:p>
    <w:p w:rsidR="006A07F5" w:rsidRPr="00977961" w:rsidRDefault="006A07F5" w:rsidP="006A07F5">
      <w:pPr>
        <w:rPr>
          <w:rFonts w:ascii="Calibri" w:hAnsi="Calibri" w:cs="Arial"/>
          <w:b/>
          <w:sz w:val="20"/>
          <w:szCs w:val="20"/>
        </w:rPr>
      </w:pPr>
      <w:r w:rsidRPr="00977961">
        <w:rPr>
          <w:rFonts w:ascii="Calibri" w:hAnsi="Calibri" w:cs="Arial"/>
          <w:b/>
          <w:sz w:val="20"/>
          <w:szCs w:val="20"/>
        </w:rPr>
        <w:t>Cost Schedule:</w:t>
      </w:r>
    </w:p>
    <w:p w:rsidR="006A07F5" w:rsidRPr="00977961" w:rsidRDefault="006A07F5" w:rsidP="006A07F5">
      <w:pPr>
        <w:rPr>
          <w:rFonts w:ascii="Calibri" w:hAnsi="Calibri" w:cs="Arial"/>
          <w:sz w:val="20"/>
          <w:szCs w:val="20"/>
        </w:rPr>
      </w:pPr>
    </w:p>
    <w:p w:rsidR="006A07F5" w:rsidRDefault="006A07F5" w:rsidP="006A07F5">
      <w:pPr>
        <w:rPr>
          <w:rFonts w:ascii="Calibri" w:hAnsi="Calibri" w:cs="Arial"/>
          <w:sz w:val="20"/>
          <w:szCs w:val="20"/>
        </w:rPr>
      </w:pPr>
      <w:r w:rsidRPr="00977961">
        <w:rPr>
          <w:rFonts w:ascii="Calibri" w:hAnsi="Calibri" w:cs="Arial"/>
          <w:sz w:val="20"/>
          <w:szCs w:val="20"/>
        </w:rPr>
        <w:t>NB: Though we expect pricing indications for professional services /support but the actual SLA arrangement will be finalized with a successful bidder.</w:t>
      </w:r>
    </w:p>
    <w:p w:rsidR="006A07F5" w:rsidRPr="00977961" w:rsidRDefault="006A07F5" w:rsidP="006A07F5">
      <w:pPr>
        <w:rPr>
          <w:rFonts w:ascii="Calibri" w:hAnsi="Calibri" w:cs="Arial"/>
          <w:sz w:val="20"/>
          <w:szCs w:val="20"/>
        </w:rPr>
      </w:pPr>
    </w:p>
    <w:p w:rsidR="006A07F5" w:rsidRPr="00977961" w:rsidRDefault="006A07F5" w:rsidP="006A07F5">
      <w:pPr>
        <w:rPr>
          <w:rFonts w:ascii="Calibri" w:eastAsia="Arial Unicode MS" w:hAnsi="Calibri" w:cs="Arial"/>
          <w:b/>
          <w:sz w:val="20"/>
          <w:szCs w:val="20"/>
          <w:u w:val="single"/>
        </w:rPr>
      </w:pPr>
      <w:r w:rsidRPr="00977961">
        <w:rPr>
          <w:rFonts w:ascii="Calibri" w:hAnsi="Calibri" w:cs="Arial"/>
          <w:sz w:val="20"/>
          <w:szCs w:val="20"/>
        </w:rPr>
        <w:t>*Price must include VAT</w:t>
      </w:r>
    </w:p>
    <w:tbl>
      <w:tblPr>
        <w:tblpPr w:leftFromText="180" w:rightFromText="180" w:vertAnchor="text" w:horzAnchor="margin" w:tblpY="31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216"/>
      </w:tblGrid>
      <w:tr w:rsidR="006A07F5" w:rsidRPr="00B32E08" w:rsidTr="006A07F5">
        <w:trPr>
          <w:trHeight w:val="498"/>
        </w:trPr>
        <w:tc>
          <w:tcPr>
            <w:tcW w:w="4248" w:type="dxa"/>
            <w:shd w:val="clear" w:color="auto" w:fill="F2F2F2"/>
            <w:vAlign w:val="center"/>
          </w:tcPr>
          <w:p w:rsidR="006A07F5" w:rsidRPr="00977961" w:rsidRDefault="006A07F5" w:rsidP="006A07F5">
            <w:pPr>
              <w:tabs>
                <w:tab w:val="left" w:pos="9150"/>
              </w:tabs>
              <w:jc w:val="center"/>
              <w:rPr>
                <w:rFonts w:ascii="Calibri" w:eastAsia="Times" w:hAnsi="Calibri" w:cs="Arial"/>
                <w:b/>
                <w:sz w:val="20"/>
                <w:szCs w:val="20"/>
                <w:lang w:val="en-GB"/>
              </w:rPr>
            </w:pPr>
            <w:r>
              <w:rPr>
                <w:rFonts w:ascii="Calibri" w:eastAsia="Times" w:hAnsi="Calibri" w:cs="Arial"/>
                <w:b/>
                <w:sz w:val="20"/>
                <w:szCs w:val="20"/>
                <w:lang w:val="en-GB"/>
              </w:rPr>
              <w:t>Aginity</w:t>
            </w:r>
          </w:p>
        </w:tc>
        <w:tc>
          <w:tcPr>
            <w:tcW w:w="5216" w:type="dxa"/>
            <w:shd w:val="clear" w:color="auto" w:fill="F2F2F2"/>
          </w:tcPr>
          <w:p w:rsidR="006A07F5" w:rsidRPr="00977961" w:rsidRDefault="006A07F5" w:rsidP="006A07F5">
            <w:pPr>
              <w:tabs>
                <w:tab w:val="left" w:pos="9150"/>
              </w:tabs>
              <w:rPr>
                <w:rFonts w:ascii="Calibri" w:eastAsia="Times" w:hAnsi="Calibri" w:cs="Arial"/>
                <w:b/>
                <w:sz w:val="20"/>
                <w:szCs w:val="20"/>
                <w:lang w:val="en-GB"/>
              </w:rPr>
            </w:pPr>
            <w:r>
              <w:rPr>
                <w:rFonts w:ascii="Calibri" w:eastAsia="Times" w:hAnsi="Calibri" w:cs="Arial"/>
                <w:b/>
                <w:sz w:val="20"/>
                <w:szCs w:val="20"/>
                <w:lang w:val="en-GB"/>
              </w:rPr>
              <w:t xml:space="preserve">                                 </w:t>
            </w:r>
            <w:r w:rsidRPr="00977961">
              <w:rPr>
                <w:rFonts w:ascii="Calibri" w:eastAsia="Times" w:hAnsi="Calibri" w:cs="Arial"/>
                <w:b/>
                <w:sz w:val="20"/>
                <w:szCs w:val="20"/>
                <w:lang w:val="en-GB"/>
              </w:rPr>
              <w:t>Costs</w:t>
            </w:r>
          </w:p>
          <w:p w:rsidR="006A07F5" w:rsidRPr="00977961" w:rsidRDefault="006A07F5" w:rsidP="006A07F5">
            <w:pPr>
              <w:tabs>
                <w:tab w:val="left" w:pos="9150"/>
              </w:tabs>
              <w:jc w:val="center"/>
              <w:rPr>
                <w:rFonts w:ascii="Calibri" w:eastAsia="Times" w:hAnsi="Calibri" w:cs="Arial"/>
                <w:b/>
                <w:sz w:val="20"/>
                <w:szCs w:val="20"/>
                <w:lang w:val="en-GB"/>
              </w:rPr>
            </w:pPr>
          </w:p>
        </w:tc>
      </w:tr>
      <w:tr w:rsidR="006A07F5" w:rsidRPr="00B32E08" w:rsidTr="006A07F5">
        <w:tc>
          <w:tcPr>
            <w:tcW w:w="4248" w:type="dxa"/>
            <w:shd w:val="clear" w:color="auto" w:fill="auto"/>
          </w:tcPr>
          <w:p w:rsidR="006A07F5" w:rsidRDefault="006A07F5" w:rsidP="006A07F5">
            <w:pPr>
              <w:tabs>
                <w:tab w:val="left" w:pos="9150"/>
              </w:tabs>
              <w:rPr>
                <w:rFonts w:ascii="Calibri" w:hAnsi="Calibri" w:cs="Arial"/>
                <w:sz w:val="20"/>
              </w:rPr>
            </w:pPr>
            <w:r>
              <w:rPr>
                <w:rFonts w:ascii="Calibri" w:hAnsi="Calibri" w:cs="Arial"/>
                <w:sz w:val="20"/>
              </w:rPr>
              <w:t>Aginity Pro Licenses for 33 users</w:t>
            </w:r>
          </w:p>
          <w:p w:rsidR="006A07F5" w:rsidRPr="00977961" w:rsidRDefault="006A07F5" w:rsidP="006A07F5">
            <w:pPr>
              <w:tabs>
                <w:tab w:val="left" w:pos="9150"/>
              </w:tabs>
              <w:rPr>
                <w:rFonts w:ascii="Calibri" w:eastAsia="Times" w:hAnsi="Calibri" w:cs="Arial"/>
                <w:b/>
                <w:sz w:val="20"/>
                <w:szCs w:val="20"/>
                <w:lang w:val="en-GB"/>
              </w:rPr>
            </w:pPr>
          </w:p>
        </w:tc>
        <w:tc>
          <w:tcPr>
            <w:tcW w:w="5216" w:type="dxa"/>
          </w:tcPr>
          <w:p w:rsidR="006A07F5" w:rsidRPr="00977961" w:rsidRDefault="006A07F5" w:rsidP="006A07F5">
            <w:pPr>
              <w:tabs>
                <w:tab w:val="left" w:pos="9150"/>
              </w:tabs>
              <w:jc w:val="center"/>
              <w:rPr>
                <w:rFonts w:ascii="Calibri" w:eastAsia="Times" w:hAnsi="Calibri" w:cs="Arial"/>
                <w:b/>
                <w:sz w:val="20"/>
                <w:szCs w:val="20"/>
                <w:lang w:val="en-GB"/>
              </w:rPr>
            </w:pPr>
          </w:p>
        </w:tc>
      </w:tr>
      <w:tr w:rsidR="006A07F5" w:rsidRPr="00B32E08" w:rsidTr="006A07F5">
        <w:tc>
          <w:tcPr>
            <w:tcW w:w="4248" w:type="dxa"/>
            <w:shd w:val="clear" w:color="auto" w:fill="auto"/>
          </w:tcPr>
          <w:p w:rsidR="006A07F5" w:rsidRPr="00B006B0" w:rsidRDefault="00B006B0" w:rsidP="006A07F5">
            <w:pPr>
              <w:tabs>
                <w:tab w:val="left" w:pos="9150"/>
              </w:tabs>
              <w:rPr>
                <w:rFonts w:ascii="Calibri" w:eastAsia="Times" w:hAnsi="Calibri" w:cs="Arial"/>
                <w:b/>
                <w:lang w:val="en-GB"/>
              </w:rPr>
            </w:pPr>
            <w:r w:rsidRPr="00B006B0">
              <w:rPr>
                <w:rFonts w:ascii="Calibri" w:eastAsia="Times" w:hAnsi="Calibri" w:cs="Arial"/>
                <w:b/>
                <w:lang w:val="en-GB"/>
              </w:rPr>
              <w:t>TOTAL</w:t>
            </w:r>
          </w:p>
        </w:tc>
        <w:tc>
          <w:tcPr>
            <w:tcW w:w="5216" w:type="dxa"/>
          </w:tcPr>
          <w:p w:rsidR="006A07F5" w:rsidRDefault="006A07F5" w:rsidP="006A07F5">
            <w:pPr>
              <w:tabs>
                <w:tab w:val="left" w:pos="9150"/>
              </w:tabs>
              <w:jc w:val="center"/>
              <w:rPr>
                <w:rFonts w:ascii="Calibri" w:eastAsia="Times" w:hAnsi="Calibri" w:cs="Arial"/>
                <w:b/>
                <w:sz w:val="20"/>
                <w:szCs w:val="20"/>
                <w:lang w:val="en-GB"/>
              </w:rPr>
            </w:pPr>
          </w:p>
          <w:p w:rsidR="006A07F5" w:rsidRPr="00977961" w:rsidRDefault="006A07F5" w:rsidP="006A07F5">
            <w:pPr>
              <w:tabs>
                <w:tab w:val="left" w:pos="9150"/>
              </w:tabs>
              <w:jc w:val="center"/>
              <w:rPr>
                <w:rFonts w:ascii="Calibri" w:eastAsia="Times" w:hAnsi="Calibri" w:cs="Arial"/>
                <w:b/>
                <w:sz w:val="20"/>
                <w:szCs w:val="20"/>
                <w:lang w:val="en-GB"/>
              </w:rPr>
            </w:pPr>
          </w:p>
        </w:tc>
      </w:tr>
      <w:tr w:rsidR="006A07F5" w:rsidRPr="00B32E08" w:rsidTr="006A07F5">
        <w:tc>
          <w:tcPr>
            <w:tcW w:w="4248" w:type="dxa"/>
            <w:shd w:val="clear" w:color="auto" w:fill="auto"/>
          </w:tcPr>
          <w:p w:rsidR="006A07F5" w:rsidRPr="00977961" w:rsidRDefault="006A07F5" w:rsidP="006A07F5">
            <w:pPr>
              <w:tabs>
                <w:tab w:val="left" w:pos="9150"/>
              </w:tabs>
              <w:rPr>
                <w:rFonts w:ascii="Calibri" w:eastAsia="Times" w:hAnsi="Calibri" w:cs="Arial"/>
                <w:b/>
                <w:sz w:val="20"/>
                <w:szCs w:val="20"/>
                <w:lang w:val="en-GB"/>
              </w:rPr>
            </w:pPr>
            <w:r>
              <w:rPr>
                <w:rFonts w:ascii="Calibri" w:eastAsia="Times" w:hAnsi="Calibri" w:cs="Arial"/>
                <w:b/>
                <w:sz w:val="20"/>
                <w:szCs w:val="20"/>
                <w:lang w:val="en-GB"/>
              </w:rPr>
              <w:t>VAT AMOUNT</w:t>
            </w:r>
          </w:p>
        </w:tc>
        <w:tc>
          <w:tcPr>
            <w:tcW w:w="5216" w:type="dxa"/>
          </w:tcPr>
          <w:p w:rsidR="006A07F5" w:rsidRDefault="006A07F5" w:rsidP="006A07F5">
            <w:pPr>
              <w:tabs>
                <w:tab w:val="left" w:pos="9150"/>
              </w:tabs>
              <w:jc w:val="center"/>
              <w:rPr>
                <w:rFonts w:ascii="Calibri" w:eastAsia="Times" w:hAnsi="Calibri" w:cs="Arial"/>
                <w:b/>
                <w:sz w:val="20"/>
                <w:szCs w:val="20"/>
                <w:lang w:val="en-GB"/>
              </w:rPr>
            </w:pPr>
          </w:p>
          <w:p w:rsidR="00B006B0" w:rsidRDefault="00B006B0" w:rsidP="006A07F5">
            <w:pPr>
              <w:tabs>
                <w:tab w:val="left" w:pos="9150"/>
              </w:tabs>
              <w:jc w:val="center"/>
              <w:rPr>
                <w:rFonts w:ascii="Calibri" w:eastAsia="Times" w:hAnsi="Calibri" w:cs="Arial"/>
                <w:b/>
                <w:sz w:val="20"/>
                <w:szCs w:val="20"/>
                <w:lang w:val="en-GB"/>
              </w:rPr>
            </w:pPr>
          </w:p>
        </w:tc>
      </w:tr>
      <w:tr w:rsidR="006A07F5" w:rsidRPr="00B32E08" w:rsidTr="006A07F5">
        <w:tc>
          <w:tcPr>
            <w:tcW w:w="4248" w:type="dxa"/>
            <w:shd w:val="clear" w:color="auto" w:fill="auto"/>
          </w:tcPr>
          <w:p w:rsidR="006A07F5" w:rsidRPr="00977961" w:rsidRDefault="006A07F5" w:rsidP="006A07F5">
            <w:pPr>
              <w:tabs>
                <w:tab w:val="left" w:pos="9150"/>
              </w:tabs>
              <w:rPr>
                <w:rFonts w:ascii="Calibri" w:eastAsia="Times" w:hAnsi="Calibri" w:cs="Arial"/>
                <w:b/>
                <w:sz w:val="20"/>
                <w:szCs w:val="20"/>
                <w:lang w:val="en-GB"/>
              </w:rPr>
            </w:pPr>
            <w:r>
              <w:rPr>
                <w:rFonts w:ascii="Calibri" w:eastAsia="Times" w:hAnsi="Calibri" w:cs="Arial"/>
                <w:b/>
                <w:sz w:val="20"/>
                <w:szCs w:val="20"/>
                <w:lang w:val="en-GB"/>
              </w:rPr>
              <w:t>TOTAL INCL VAT</w:t>
            </w:r>
          </w:p>
        </w:tc>
        <w:tc>
          <w:tcPr>
            <w:tcW w:w="5216" w:type="dxa"/>
          </w:tcPr>
          <w:p w:rsidR="006A07F5" w:rsidRDefault="006A07F5" w:rsidP="006A07F5">
            <w:pPr>
              <w:tabs>
                <w:tab w:val="left" w:pos="9150"/>
              </w:tabs>
              <w:jc w:val="center"/>
              <w:rPr>
                <w:rFonts w:ascii="Calibri" w:eastAsia="Times" w:hAnsi="Calibri" w:cs="Arial"/>
                <w:b/>
                <w:sz w:val="20"/>
                <w:szCs w:val="20"/>
                <w:lang w:val="en-GB"/>
              </w:rPr>
            </w:pPr>
          </w:p>
          <w:p w:rsidR="00B006B0" w:rsidRDefault="00B006B0" w:rsidP="006A07F5">
            <w:pPr>
              <w:tabs>
                <w:tab w:val="left" w:pos="9150"/>
              </w:tabs>
              <w:jc w:val="center"/>
              <w:rPr>
                <w:rFonts w:ascii="Calibri" w:eastAsia="Times" w:hAnsi="Calibri" w:cs="Arial"/>
                <w:b/>
                <w:sz w:val="20"/>
                <w:szCs w:val="20"/>
                <w:lang w:val="en-GB"/>
              </w:rPr>
            </w:pPr>
          </w:p>
        </w:tc>
      </w:tr>
    </w:tbl>
    <w:p w:rsidR="006A07F5" w:rsidRDefault="006A07F5" w:rsidP="00B1503D">
      <w:pPr>
        <w:tabs>
          <w:tab w:val="left" w:pos="9150"/>
        </w:tabs>
        <w:spacing w:line="360" w:lineRule="auto"/>
        <w:rPr>
          <w:rFonts w:ascii="Calibri" w:hAnsi="Calibri"/>
          <w:sz w:val="20"/>
        </w:rPr>
      </w:pPr>
    </w:p>
    <w:p w:rsidR="006A07F5" w:rsidRDefault="006A07F5" w:rsidP="00B1503D">
      <w:pPr>
        <w:tabs>
          <w:tab w:val="left" w:pos="9150"/>
        </w:tabs>
        <w:spacing w:line="360" w:lineRule="auto"/>
        <w:rPr>
          <w:rFonts w:ascii="Calibri" w:hAnsi="Calibri"/>
          <w:sz w:val="20"/>
        </w:rPr>
      </w:pPr>
    </w:p>
    <w:p w:rsidR="006A07F5" w:rsidRDefault="006A07F5" w:rsidP="00B1503D">
      <w:pPr>
        <w:tabs>
          <w:tab w:val="left" w:pos="9150"/>
        </w:tabs>
        <w:spacing w:line="360" w:lineRule="auto"/>
        <w:rPr>
          <w:rFonts w:ascii="Calibri" w:hAnsi="Calibri"/>
          <w:sz w:val="20"/>
        </w:rPr>
      </w:pPr>
    </w:p>
    <w:p w:rsidR="006A07F5" w:rsidRDefault="006A07F5" w:rsidP="00B1503D">
      <w:pPr>
        <w:tabs>
          <w:tab w:val="left" w:pos="9150"/>
        </w:tabs>
        <w:spacing w:line="360" w:lineRule="auto"/>
        <w:rPr>
          <w:rFonts w:ascii="Calibri" w:hAnsi="Calibri"/>
          <w:sz w:val="20"/>
        </w:rPr>
      </w:pPr>
    </w:p>
    <w:p w:rsidR="006A07F5" w:rsidRDefault="006A07F5" w:rsidP="00B1503D">
      <w:pPr>
        <w:tabs>
          <w:tab w:val="left" w:pos="9150"/>
        </w:tabs>
        <w:spacing w:line="360" w:lineRule="auto"/>
        <w:rPr>
          <w:rFonts w:ascii="Calibri" w:hAnsi="Calibri"/>
          <w:sz w:val="20"/>
        </w:rPr>
      </w:pPr>
    </w:p>
    <w:p w:rsidR="006A07F5" w:rsidRDefault="006A07F5" w:rsidP="00B1503D">
      <w:pPr>
        <w:tabs>
          <w:tab w:val="left" w:pos="9150"/>
        </w:tabs>
        <w:spacing w:line="360" w:lineRule="auto"/>
        <w:rPr>
          <w:rFonts w:ascii="Calibri" w:hAnsi="Calibri"/>
          <w:sz w:val="20"/>
        </w:rPr>
      </w:pPr>
    </w:p>
    <w:p w:rsidR="006A07F5" w:rsidRDefault="006A07F5" w:rsidP="00B1503D">
      <w:pPr>
        <w:tabs>
          <w:tab w:val="left" w:pos="9150"/>
        </w:tabs>
        <w:spacing w:line="360" w:lineRule="auto"/>
        <w:rPr>
          <w:rFonts w:ascii="Calibri" w:hAnsi="Calibri"/>
          <w:sz w:val="20"/>
        </w:rPr>
      </w:pPr>
    </w:p>
    <w:p w:rsidR="006A07F5" w:rsidRDefault="006A07F5" w:rsidP="00B1503D">
      <w:pPr>
        <w:tabs>
          <w:tab w:val="left" w:pos="9150"/>
        </w:tabs>
        <w:spacing w:line="360" w:lineRule="auto"/>
        <w:rPr>
          <w:rFonts w:ascii="Calibri" w:hAnsi="Calibri"/>
          <w:sz w:val="20"/>
        </w:rPr>
      </w:pPr>
    </w:p>
    <w:p w:rsidR="006A07F5" w:rsidRDefault="006A07F5" w:rsidP="00B1503D">
      <w:pPr>
        <w:tabs>
          <w:tab w:val="left" w:pos="9150"/>
        </w:tabs>
        <w:spacing w:line="360" w:lineRule="auto"/>
        <w:rPr>
          <w:rFonts w:ascii="Calibri" w:hAnsi="Calibri"/>
          <w:sz w:val="20"/>
        </w:rPr>
      </w:pPr>
    </w:p>
    <w:p w:rsidR="00BE1F61" w:rsidRDefault="00BE1F61" w:rsidP="00B1503D">
      <w:pPr>
        <w:jc w:val="both"/>
        <w:rPr>
          <w:rFonts w:ascii="Calibri" w:hAnsi="Calibri"/>
          <w:sz w:val="20"/>
        </w:rPr>
      </w:pPr>
    </w:p>
    <w:p w:rsidR="00B006B0" w:rsidRDefault="00B006B0" w:rsidP="00B1503D">
      <w:pPr>
        <w:jc w:val="both"/>
        <w:rPr>
          <w:rFonts w:ascii="Arial Narrow" w:hAnsi="Arial Narrow"/>
          <w:b/>
          <w:sz w:val="22"/>
          <w:szCs w:val="22"/>
        </w:rPr>
      </w:pPr>
    </w:p>
    <w:p w:rsidR="00CD69A2" w:rsidRPr="0007743A" w:rsidRDefault="00CD69A2" w:rsidP="00CD69A2">
      <w:pPr>
        <w:tabs>
          <w:tab w:val="left" w:pos="9150"/>
        </w:tabs>
        <w:spacing w:line="360" w:lineRule="auto"/>
        <w:rPr>
          <w:rFonts w:ascii="Calibri" w:hAnsi="Calibri" w:cs="Arial"/>
          <w:sz w:val="20"/>
        </w:rPr>
      </w:pPr>
      <w:r w:rsidRPr="0007743A">
        <w:rPr>
          <w:rFonts w:ascii="Calibri" w:hAnsi="Calibri" w:cs="Arial"/>
          <w:sz w:val="20"/>
        </w:rPr>
        <w:t>The National Health Laboratory Service (NHLS) provides Proficiency Testing Schemes to all NHLS and Non-NHLS laboratories that are participating. Therefore, there is a need to source material for the following disciplines.</w:t>
      </w:r>
    </w:p>
    <w:p w:rsidR="00CD69A2" w:rsidRDefault="00CD69A2" w:rsidP="00CD69A2">
      <w:pPr>
        <w:jc w:val="both"/>
        <w:rPr>
          <w:rFonts w:ascii="Arial Narrow" w:hAnsi="Arial Narrow"/>
          <w:b/>
          <w:sz w:val="22"/>
          <w:szCs w:val="22"/>
        </w:rPr>
      </w:pPr>
      <w:r w:rsidRPr="0007743A">
        <w:rPr>
          <w:rFonts w:ascii="Calibri" w:hAnsi="Calibri" w:cs="Arial"/>
          <w:color w:val="FF0000"/>
          <w:sz w:val="20"/>
          <w:lang w:val="en-ZA"/>
        </w:rPr>
        <w:t>NB:</w:t>
      </w:r>
      <w:r w:rsidRPr="0007743A">
        <w:rPr>
          <w:rFonts w:ascii="Calibri" w:hAnsi="Calibri" w:cs="Arial"/>
          <w:sz w:val="20"/>
          <w:lang w:val="en-ZA"/>
        </w:rPr>
        <w:t xml:space="preserve"> The awarding of the RFQ is subject to successful verification of material conducted by the NHLS Proficiency Testing Scheme Provider. The bidder must provide material for verification</w:t>
      </w:r>
    </w:p>
    <w:p w:rsidR="00BE1F61" w:rsidRDefault="00BE1F61"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997AE0">
              <w:rPr>
                <w:rFonts w:ascii="Arial Narrow" w:hAnsi="Arial Narrow"/>
                <w:b/>
                <w:sz w:val="22"/>
                <w:szCs w:val="22"/>
              </w:rPr>
              <w:t>1505298</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B006B0">
              <w:rPr>
                <w:rFonts w:ascii="Arial Narrow" w:hAnsi="Arial Narrow"/>
                <w:b/>
                <w:sz w:val="22"/>
                <w:szCs w:val="22"/>
              </w:rPr>
              <w:t>01 Decem</w:t>
            </w:r>
            <w:r w:rsidR="00E81F5B">
              <w:rPr>
                <w:rFonts w:ascii="Arial Narrow" w:hAnsi="Arial Narrow"/>
                <w:b/>
                <w:sz w:val="22"/>
                <w:szCs w:val="22"/>
              </w:rPr>
              <w:t>ber</w:t>
            </w:r>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B1503D" w:rsidRDefault="00B1503D" w:rsidP="0083651C">
      <w:pPr>
        <w:jc w:val="both"/>
        <w:rPr>
          <w:rFonts w:ascii="Arial Narrow" w:hAnsi="Arial Narrow"/>
          <w:sz w:val="22"/>
          <w:szCs w:val="22"/>
        </w:rPr>
      </w:pPr>
    </w:p>
    <w:p w:rsidR="00B1503D" w:rsidRDefault="00B1503D" w:rsidP="0083651C">
      <w:pPr>
        <w:jc w:val="both"/>
        <w:rPr>
          <w:rFonts w:ascii="Arial Narrow" w:hAnsi="Arial Narrow"/>
          <w:sz w:val="22"/>
          <w:szCs w:val="22"/>
        </w:rPr>
      </w:pPr>
    </w:p>
    <w:p w:rsidR="00B1503D" w:rsidRDefault="00B1503D"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206EC5" w:rsidRDefault="00206EC5" w:rsidP="0083651C">
      <w:pPr>
        <w:pStyle w:val="BodyText"/>
        <w:rPr>
          <w:rFonts w:ascii="Arial Narrow" w:hAnsi="Arial Narrow"/>
          <w:b/>
          <w:sz w:val="22"/>
          <w:szCs w:val="22"/>
        </w:rPr>
      </w:pPr>
    </w:p>
    <w:p w:rsidR="00206EC5" w:rsidRDefault="00206EC5"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206EC5">
      <w:pPr>
        <w:tabs>
          <w:tab w:val="left" w:pos="-963"/>
          <w:tab w:val="left" w:pos="-720"/>
          <w:tab w:val="left" w:pos="900"/>
          <w:tab w:val="left" w:pos="2250"/>
          <w:tab w:val="left" w:pos="7363"/>
        </w:tabs>
        <w:jc w:val="both"/>
        <w:rPr>
          <w:rFonts w:ascii="Arial Narrow" w:hAnsi="Arial Narrow" w:cs="Arial Narrow"/>
          <w:b/>
          <w:lang w:val="en-GB"/>
        </w:rPr>
      </w:pPr>
    </w:p>
    <w:p w:rsidR="00D14044" w:rsidRDefault="00D14044" w:rsidP="00206EC5">
      <w:pPr>
        <w:tabs>
          <w:tab w:val="left" w:pos="-963"/>
          <w:tab w:val="left" w:pos="-720"/>
          <w:tab w:val="left" w:pos="900"/>
          <w:tab w:val="left" w:pos="2250"/>
          <w:tab w:val="left" w:pos="7363"/>
        </w:tabs>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5E6DDC" w:rsidP="006A13C2">
      <w:pPr>
        <w:spacing w:line="276" w:lineRule="auto"/>
        <w:jc w:val="both"/>
        <w:rPr>
          <w:rFonts w:ascii="Arial Narrow" w:hAnsi="Arial Narrow" w:cs="Arial Narrow"/>
          <w:lang w:val="en-GB"/>
        </w:rPr>
      </w:pPr>
      <w:r>
        <w:rPr>
          <w:rFonts w:ascii="Arial Narrow" w:hAnsi="Arial Narrow" w:cs="Arial Narrow"/>
          <w:lang w:val="en-GB"/>
        </w:rPr>
        <w:t xml:space="preserve">Please </w:t>
      </w:r>
      <w:r>
        <w:rPr>
          <w:rFonts w:ascii="Arial Narrow" w:hAnsi="Arial Narrow" w:cs="Arial Narrow"/>
          <w:lang w:val="en-GB"/>
        </w:rPr>
        <w:tab/>
        <w:t xml:space="preserve">indicate </w:t>
      </w:r>
      <w:r w:rsidR="0064763C" w:rsidRPr="0064763C">
        <w:rPr>
          <w:rFonts w:ascii="Arial Narrow" w:hAnsi="Arial Narrow" w:cs="Arial Narrow"/>
          <w:lang w:val="en-GB"/>
        </w:rPr>
        <w:t xml:space="preserve">your </w:t>
      </w:r>
      <w:r w:rsidR="0064763C" w:rsidRPr="0064763C">
        <w:rPr>
          <w:rFonts w:ascii="Arial Narrow" w:hAnsi="Arial Narrow" w:cs="Arial Narrow"/>
          <w:lang w:val="en-GB"/>
        </w:rPr>
        <w:tab/>
        <w:t xml:space="preserve">total </w:t>
      </w:r>
      <w:r w:rsidR="0064763C" w:rsidRPr="0064763C">
        <w:rPr>
          <w:rFonts w:ascii="Arial Narrow" w:hAnsi="Arial Narrow" w:cs="Arial Narrow"/>
          <w:lang w:val="en-GB"/>
        </w:rPr>
        <w:tab/>
        <w:t xml:space="preserve">RFQ </w:t>
      </w:r>
      <w:r w:rsidR="0064763C" w:rsidRPr="0064763C">
        <w:rPr>
          <w:rFonts w:ascii="Arial Narrow" w:hAnsi="Arial Narrow" w:cs="Arial Narrow"/>
          <w:lang w:val="en-GB"/>
        </w:rPr>
        <w:tab/>
        <w:t xml:space="preserve">price </w:t>
      </w:r>
      <w:r w:rsidR="0064763C" w:rsidRPr="0064763C">
        <w:rPr>
          <w:rFonts w:ascii="Arial Narrow" w:hAnsi="Arial Narrow" w:cs="Arial Narrow"/>
          <w:lang w:val="en-GB"/>
        </w:rPr>
        <w:tab/>
        <w:t>here:</w:t>
      </w:r>
      <w:r w:rsidR="0064763C">
        <w:rPr>
          <w:rFonts w:ascii="Arial Narrow" w:hAnsi="Arial Narrow" w:cs="Arial Narrow"/>
          <w:lang w:val="en-GB"/>
        </w:rPr>
        <w:t xml:space="preserve"> </w:t>
      </w:r>
      <w:r w:rsidR="0064763C"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0064763C"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BE1F61">
      <w:pPr>
        <w:tabs>
          <w:tab w:val="left" w:pos="-963"/>
          <w:tab w:val="left" w:pos="-720"/>
          <w:tab w:val="left" w:pos="900"/>
          <w:tab w:val="left" w:pos="2250"/>
          <w:tab w:val="left" w:pos="7363"/>
        </w:tabs>
        <w:jc w:val="both"/>
        <w:rPr>
          <w:rFonts w:ascii="Arial Narrow" w:hAnsi="Arial Narrow" w:cs="Arial Narrow"/>
          <w:lang w:val="en-GB"/>
        </w:rPr>
      </w:pPr>
    </w:p>
    <w:p w:rsidR="0064763C" w:rsidRPr="00B006B0" w:rsidRDefault="00B1503D" w:rsidP="0064763C">
      <w:pPr>
        <w:tabs>
          <w:tab w:val="left" w:pos="-963"/>
          <w:tab w:val="left" w:pos="-720"/>
          <w:tab w:val="left" w:pos="900"/>
          <w:tab w:val="left" w:pos="2250"/>
          <w:tab w:val="left" w:pos="7363"/>
        </w:tabs>
        <w:ind w:left="900" w:hanging="900"/>
        <w:jc w:val="both"/>
        <w:rPr>
          <w:rFonts w:ascii="Arial Narrow" w:hAnsi="Arial Narrow" w:cs="Arial Narrow"/>
          <w:b/>
          <w:color w:val="FF0000"/>
          <w:lang w:val="en-GB"/>
        </w:rPr>
      </w:pPr>
      <w:r>
        <w:rPr>
          <w:rFonts w:ascii="Arial Narrow" w:hAnsi="Arial Narrow" w:cs="Arial Narrow"/>
          <w:b/>
          <w:lang w:val="en-GB"/>
        </w:rPr>
        <w:t xml:space="preserve">RFQ Number: </w:t>
      </w:r>
      <w:r w:rsidR="00997AE0" w:rsidRPr="00997AE0">
        <w:rPr>
          <w:rFonts w:ascii="Arial Narrow" w:hAnsi="Arial Narrow" w:cs="Arial Narrow"/>
          <w:b/>
          <w:color w:val="000000" w:themeColor="text1"/>
          <w:lang w:val="en-GB"/>
        </w:rPr>
        <w:t>1505298</w:t>
      </w:r>
      <w:r w:rsidR="0064763C" w:rsidRPr="00997AE0">
        <w:rPr>
          <w:rFonts w:ascii="Arial Narrow" w:hAnsi="Arial Narrow" w:cs="Arial Narrow"/>
          <w:b/>
          <w:color w:val="000000" w:themeColor="text1"/>
          <w:lang w:val="en-GB"/>
        </w:rPr>
        <w:t>............</w:t>
      </w:r>
      <w:r w:rsidR="00C76FA1" w:rsidRPr="00997AE0">
        <w:rPr>
          <w:rFonts w:ascii="Arial Narrow" w:hAnsi="Arial Narrow" w:cs="Arial Narrow"/>
          <w:b/>
          <w:color w:val="000000" w:themeColor="text1"/>
          <w:lang w:val="en-GB"/>
        </w:rPr>
        <w:t>...........</w:t>
      </w:r>
      <w:r w:rsidR="0064763C" w:rsidRPr="00997AE0">
        <w:rPr>
          <w:rFonts w:ascii="Arial Narrow" w:hAnsi="Arial Narrow" w:cs="Arial Narrow"/>
          <w:b/>
          <w:color w:val="000000" w:themeColor="text1"/>
          <w:lang w:val="en-GB"/>
        </w:rPr>
        <w:t>.............</w:t>
      </w:r>
      <w:r w:rsidR="00C76FA1" w:rsidRPr="00997AE0">
        <w:rPr>
          <w:rFonts w:ascii="Arial Narrow" w:hAnsi="Arial Narrow" w:cs="Arial Narrow"/>
          <w:b/>
          <w:color w:val="000000" w:themeColor="text1"/>
          <w:lang w:val="en-GB"/>
        </w:rPr>
        <w:t>.........</w:t>
      </w:r>
      <w:r w:rsidR="0064763C" w:rsidRPr="00997AE0">
        <w:rPr>
          <w:rFonts w:ascii="Arial Narrow" w:hAnsi="Arial Narrow" w:cs="Arial Narrow"/>
          <w:b/>
          <w:color w:val="000000" w:themeColor="text1"/>
          <w:lang w:val="en-GB"/>
        </w:rPr>
        <w:t xml:space="preserve">.............. </w:t>
      </w:r>
    </w:p>
    <w:p w:rsidR="00C76FA1" w:rsidRPr="00B006B0" w:rsidRDefault="00C76FA1" w:rsidP="0064763C">
      <w:pPr>
        <w:tabs>
          <w:tab w:val="left" w:pos="-963"/>
          <w:tab w:val="left" w:pos="-720"/>
          <w:tab w:val="left" w:pos="900"/>
          <w:tab w:val="left" w:pos="2250"/>
          <w:tab w:val="left" w:pos="7363"/>
        </w:tabs>
        <w:ind w:left="900" w:hanging="900"/>
        <w:jc w:val="both"/>
        <w:rPr>
          <w:rFonts w:ascii="Arial Narrow" w:hAnsi="Arial Narrow" w:cs="Arial Narrow"/>
          <w:b/>
          <w:color w:val="FF0000"/>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DF25C6" w:rsidRDefault="00DF25C6"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BE1F61" w:rsidRPr="003B72E5" w:rsidRDefault="00BE1F61"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jc w:val="both"/>
        <w:rPr>
          <w:rFonts w:ascii="Arial Narrow" w:hAnsi="Arial Narrow" w:cs="Arial"/>
        </w:rPr>
      </w:pPr>
    </w:p>
    <w:p w:rsidR="00BE1F61" w:rsidRDefault="00BE1F61" w:rsidP="003B72E5">
      <w:pPr>
        <w:jc w:val="both"/>
        <w:rPr>
          <w:rFonts w:ascii="Arial Narrow" w:hAnsi="Arial Narrow" w:cs="Arial"/>
        </w:rPr>
      </w:pPr>
    </w:p>
    <w:p w:rsidR="00BE1F61" w:rsidRDefault="00BE1F61" w:rsidP="003B72E5">
      <w:pPr>
        <w:jc w:val="both"/>
        <w:rPr>
          <w:rFonts w:ascii="Arial Narrow" w:hAnsi="Arial Narrow" w:cs="Arial"/>
        </w:rPr>
      </w:pPr>
    </w:p>
    <w:p w:rsidR="00BE1F61" w:rsidRPr="003B72E5" w:rsidRDefault="00BE1F61"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lastRenderedPageBreak/>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Default="003B72E5" w:rsidP="003B72E5">
      <w:pPr>
        <w:tabs>
          <w:tab w:val="left" w:pos="900"/>
          <w:tab w:val="left" w:pos="2250"/>
          <w:tab w:val="right" w:pos="9752"/>
        </w:tabs>
        <w:ind w:firstLine="540"/>
        <w:jc w:val="both"/>
        <w:rPr>
          <w:rFonts w:ascii="Arial Narrow" w:hAnsi="Arial Narrow" w:cs="Arial"/>
          <w:lang w:val="en-GB"/>
        </w:rPr>
      </w:pPr>
    </w:p>
    <w:p w:rsidR="00B1503D" w:rsidRPr="003B72E5" w:rsidRDefault="00B1503D"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061E34" w:rsidRDefault="00061E34" w:rsidP="00BE1F61">
      <w:pPr>
        <w:tabs>
          <w:tab w:val="left" w:pos="1080"/>
          <w:tab w:val="left" w:pos="5760"/>
          <w:tab w:val="left" w:pos="7020"/>
          <w:tab w:val="right" w:pos="9752"/>
        </w:tabs>
        <w:jc w:val="both"/>
        <w:rPr>
          <w:rFonts w:ascii="Arial Narrow" w:hAnsi="Arial Narrow" w:cs="Arial Narrow"/>
          <w:lang w:val="en-GB"/>
        </w:rPr>
      </w:pPr>
    </w:p>
    <w:p w:rsidR="00061E34" w:rsidRDefault="00061E34" w:rsidP="00BE1F61">
      <w:pPr>
        <w:tabs>
          <w:tab w:val="left" w:pos="1080"/>
          <w:tab w:val="left" w:pos="5760"/>
          <w:tab w:val="left" w:pos="7020"/>
          <w:tab w:val="right" w:pos="9752"/>
        </w:tabs>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Default="0097324C" w:rsidP="0097324C">
      <w:pPr>
        <w:tabs>
          <w:tab w:val="left" w:pos="900"/>
          <w:tab w:val="left" w:pos="2880"/>
          <w:tab w:val="left" w:pos="5760"/>
          <w:tab w:val="left" w:pos="7920"/>
        </w:tabs>
        <w:rPr>
          <w:rFonts w:ascii="Arial" w:hAnsi="Arial" w:cs="Arial"/>
          <w:sz w:val="22"/>
          <w:szCs w:val="22"/>
          <w:lang w:val="en-GB"/>
        </w:rPr>
      </w:pPr>
    </w:p>
    <w:p w:rsidR="00997AE0" w:rsidRDefault="00997AE0" w:rsidP="0097324C">
      <w:pPr>
        <w:tabs>
          <w:tab w:val="left" w:pos="900"/>
          <w:tab w:val="left" w:pos="2880"/>
          <w:tab w:val="left" w:pos="5760"/>
          <w:tab w:val="left" w:pos="7920"/>
        </w:tabs>
        <w:rPr>
          <w:rFonts w:ascii="Arial" w:hAnsi="Arial" w:cs="Arial"/>
          <w:sz w:val="22"/>
          <w:szCs w:val="22"/>
          <w:lang w:val="en-GB"/>
        </w:rPr>
      </w:pPr>
    </w:p>
    <w:p w:rsidR="00997AE0" w:rsidRDefault="00997AE0" w:rsidP="0097324C">
      <w:pPr>
        <w:tabs>
          <w:tab w:val="left" w:pos="900"/>
          <w:tab w:val="left" w:pos="2880"/>
          <w:tab w:val="left" w:pos="5760"/>
          <w:tab w:val="left" w:pos="7920"/>
        </w:tabs>
        <w:rPr>
          <w:rFonts w:ascii="Arial" w:hAnsi="Arial" w:cs="Arial"/>
          <w:sz w:val="22"/>
          <w:szCs w:val="22"/>
          <w:lang w:val="en-GB"/>
        </w:rPr>
      </w:pPr>
    </w:p>
    <w:p w:rsidR="00997AE0" w:rsidRDefault="00997AE0" w:rsidP="0097324C">
      <w:pPr>
        <w:tabs>
          <w:tab w:val="left" w:pos="900"/>
          <w:tab w:val="left" w:pos="2880"/>
          <w:tab w:val="left" w:pos="5760"/>
          <w:tab w:val="left" w:pos="7920"/>
        </w:tabs>
        <w:rPr>
          <w:rFonts w:ascii="Arial" w:hAnsi="Arial" w:cs="Arial"/>
          <w:sz w:val="22"/>
          <w:szCs w:val="22"/>
          <w:lang w:val="en-GB"/>
        </w:rPr>
      </w:pPr>
    </w:p>
    <w:p w:rsidR="00997AE0" w:rsidRDefault="00997AE0" w:rsidP="0097324C">
      <w:pPr>
        <w:tabs>
          <w:tab w:val="left" w:pos="900"/>
          <w:tab w:val="left" w:pos="2880"/>
          <w:tab w:val="left" w:pos="5760"/>
          <w:tab w:val="left" w:pos="7920"/>
        </w:tabs>
        <w:rPr>
          <w:rFonts w:ascii="Arial" w:hAnsi="Arial" w:cs="Arial"/>
          <w:sz w:val="22"/>
          <w:szCs w:val="22"/>
          <w:lang w:val="en-GB"/>
        </w:rPr>
      </w:pPr>
    </w:p>
    <w:p w:rsidR="00997AE0" w:rsidRDefault="00997AE0" w:rsidP="0097324C">
      <w:pPr>
        <w:tabs>
          <w:tab w:val="left" w:pos="900"/>
          <w:tab w:val="left" w:pos="2880"/>
          <w:tab w:val="left" w:pos="5760"/>
          <w:tab w:val="left" w:pos="7920"/>
        </w:tabs>
        <w:rPr>
          <w:rFonts w:ascii="Arial" w:hAnsi="Arial" w:cs="Arial"/>
          <w:sz w:val="22"/>
          <w:szCs w:val="22"/>
          <w:lang w:val="en-GB"/>
        </w:rPr>
      </w:pPr>
    </w:p>
    <w:p w:rsidR="00997AE0" w:rsidRDefault="00997AE0" w:rsidP="0097324C">
      <w:pPr>
        <w:tabs>
          <w:tab w:val="left" w:pos="900"/>
          <w:tab w:val="left" w:pos="2880"/>
          <w:tab w:val="left" w:pos="5760"/>
          <w:tab w:val="left" w:pos="7920"/>
        </w:tabs>
        <w:rPr>
          <w:rFonts w:ascii="Arial" w:hAnsi="Arial" w:cs="Arial"/>
          <w:sz w:val="22"/>
          <w:szCs w:val="22"/>
          <w:lang w:val="en-GB"/>
        </w:rPr>
      </w:pPr>
    </w:p>
    <w:p w:rsidR="00997AE0" w:rsidRDefault="00997AE0" w:rsidP="0097324C">
      <w:pPr>
        <w:tabs>
          <w:tab w:val="left" w:pos="900"/>
          <w:tab w:val="left" w:pos="2880"/>
          <w:tab w:val="left" w:pos="5760"/>
          <w:tab w:val="left" w:pos="7920"/>
        </w:tabs>
        <w:rPr>
          <w:rFonts w:ascii="Arial" w:hAnsi="Arial" w:cs="Arial"/>
          <w:sz w:val="22"/>
          <w:szCs w:val="22"/>
          <w:lang w:val="en-GB"/>
        </w:rPr>
      </w:pPr>
    </w:p>
    <w:p w:rsidR="00997AE0" w:rsidRPr="00E44F1F" w:rsidRDefault="00997AE0"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B1503D" w:rsidRPr="00DF25C6" w:rsidRDefault="0097324C" w:rsidP="00B1503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B1503D" w:rsidRDefault="00B1503D" w:rsidP="00B1503D">
      <w:pPr>
        <w:widowControl w:val="0"/>
        <w:tabs>
          <w:tab w:val="left" w:pos="7920"/>
        </w:tabs>
        <w:spacing w:after="120"/>
        <w:jc w:val="both"/>
        <w:rPr>
          <w:rFonts w:ascii="Arial" w:hAnsi="Arial" w:cs="Arial"/>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lastRenderedPageBreak/>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B1503D"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 xml:space="preserve">nterprise in terms of a code of good practice  on black economic empowerment issued in terms of section 9 (1) of the Broad-Based Black </w:t>
      </w:r>
    </w:p>
    <w:p w:rsidR="00B1503D" w:rsidRDefault="00B1503D" w:rsidP="00B1503D">
      <w:pPr>
        <w:pStyle w:val="ListParagraph"/>
        <w:widowControl w:val="0"/>
        <w:ind w:left="1134"/>
        <w:rPr>
          <w:rFonts w:ascii="Arial" w:hAnsi="Arial" w:cs="Arial"/>
          <w:b/>
          <w:sz w:val="22"/>
          <w:szCs w:val="22"/>
        </w:rPr>
      </w:pPr>
    </w:p>
    <w:p w:rsidR="0097324C" w:rsidRDefault="0097324C" w:rsidP="00B1503D">
      <w:pPr>
        <w:pStyle w:val="ListParagraph"/>
        <w:widowControl w:val="0"/>
        <w:ind w:left="1134"/>
        <w:rPr>
          <w:rFonts w:ascii="Arial" w:hAnsi="Arial" w:cs="Arial"/>
          <w:sz w:val="22"/>
          <w:szCs w:val="22"/>
        </w:rPr>
      </w:pPr>
      <w:r w:rsidRPr="00983817">
        <w:rPr>
          <w:rFonts w:ascii="Arial" w:hAnsi="Arial" w:cs="Arial"/>
          <w:sz w:val="22"/>
          <w:szCs w:val="22"/>
        </w:rPr>
        <w:t>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1" o:title=""/>
          </v:shape>
          <o:OLEObject Type="Embed" ProgID="Equation.3" ShapeID="_x0000_i1025" DrawAspect="Content" ObjectID="_1730801260"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3" o:title=""/>
          </v:shape>
          <o:OLEObject Type="Embed" ProgID="Equation.3" ShapeID="_x0000_i1026" DrawAspect="Content" ObjectID="_1730801261"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lastRenderedPageBreak/>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97AE0" w:rsidRDefault="00997AE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97AE0" w:rsidRDefault="00997AE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97AE0" w:rsidRDefault="00997AE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97AE0" w:rsidRDefault="00997AE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w:t>
      </w:r>
      <w:r w:rsidRPr="00E44F1F">
        <w:rPr>
          <w:rFonts w:ascii="Arial" w:hAnsi="Arial" w:cs="Arial"/>
          <w:sz w:val="22"/>
          <w:szCs w:val="22"/>
          <w:lang w:val="en-GB"/>
        </w:rPr>
        <w:lastRenderedPageBreak/>
        <w:t xml:space="preserve">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BE1F61" w:rsidRDefault="0097324C" w:rsidP="0097324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5FCB585C" wp14:editId="1709B9AF">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A07F5" w:rsidRDefault="006A07F5" w:rsidP="0097324C"/>
                          <w:p w:rsidR="006A07F5" w:rsidRDefault="006A07F5" w:rsidP="0097324C"/>
                          <w:p w:rsidR="006A07F5" w:rsidRPr="00585866" w:rsidRDefault="006A07F5"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A07F5" w:rsidRPr="00585866" w:rsidRDefault="006A07F5" w:rsidP="0097324C">
                            <w:pPr>
                              <w:jc w:val="center"/>
                              <w:rPr>
                                <w:rFonts w:ascii="Arial" w:hAnsi="Arial" w:cs="Arial"/>
                                <w:sz w:val="18"/>
                                <w:szCs w:val="18"/>
                              </w:rPr>
                            </w:pPr>
                            <w:r w:rsidRPr="00585866">
                              <w:rPr>
                                <w:rFonts w:ascii="Arial" w:hAnsi="Arial" w:cs="Arial"/>
                                <w:sz w:val="18"/>
                                <w:szCs w:val="18"/>
                              </w:rPr>
                              <w:t>SIGNATURE(S) OF BIDDERS(S)</w:t>
                            </w:r>
                          </w:p>
                          <w:p w:rsidR="006A07F5" w:rsidRPr="00585866" w:rsidRDefault="006A07F5" w:rsidP="0097324C">
                            <w:pPr>
                              <w:rPr>
                                <w:rFonts w:ascii="Arial" w:hAnsi="Arial" w:cs="Arial"/>
                                <w:sz w:val="18"/>
                                <w:szCs w:val="18"/>
                              </w:rPr>
                            </w:pPr>
                          </w:p>
                          <w:p w:rsidR="006A07F5" w:rsidRPr="00585866" w:rsidRDefault="006A07F5"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6A07F5" w:rsidRPr="00585866" w:rsidRDefault="006A07F5"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6A07F5" w:rsidRPr="00585866" w:rsidRDefault="006A07F5"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A07F5" w:rsidRPr="00585866" w:rsidRDefault="006A07F5"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A07F5" w:rsidRDefault="006A07F5"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B585C"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6A07F5" w:rsidRDefault="006A07F5" w:rsidP="0097324C"/>
                    <w:p w:rsidR="006A07F5" w:rsidRDefault="006A07F5" w:rsidP="0097324C"/>
                    <w:p w:rsidR="006A07F5" w:rsidRPr="00585866" w:rsidRDefault="006A07F5"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A07F5" w:rsidRPr="00585866" w:rsidRDefault="006A07F5" w:rsidP="0097324C">
                      <w:pPr>
                        <w:jc w:val="center"/>
                        <w:rPr>
                          <w:rFonts w:ascii="Arial" w:hAnsi="Arial" w:cs="Arial"/>
                          <w:sz w:val="18"/>
                          <w:szCs w:val="18"/>
                        </w:rPr>
                      </w:pPr>
                      <w:r w:rsidRPr="00585866">
                        <w:rPr>
                          <w:rFonts w:ascii="Arial" w:hAnsi="Arial" w:cs="Arial"/>
                          <w:sz w:val="18"/>
                          <w:szCs w:val="18"/>
                        </w:rPr>
                        <w:t>SIGNATURE(S) OF BIDDERS(S)</w:t>
                      </w:r>
                    </w:p>
                    <w:p w:rsidR="006A07F5" w:rsidRPr="00585866" w:rsidRDefault="006A07F5" w:rsidP="0097324C">
                      <w:pPr>
                        <w:rPr>
                          <w:rFonts w:ascii="Arial" w:hAnsi="Arial" w:cs="Arial"/>
                          <w:sz w:val="18"/>
                          <w:szCs w:val="18"/>
                        </w:rPr>
                      </w:pPr>
                    </w:p>
                    <w:p w:rsidR="006A07F5" w:rsidRPr="00585866" w:rsidRDefault="006A07F5"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6A07F5" w:rsidRPr="00585866" w:rsidRDefault="006A07F5"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6A07F5" w:rsidRPr="00585866" w:rsidRDefault="006A07F5"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A07F5" w:rsidRPr="00585866" w:rsidRDefault="006A07F5"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A07F5" w:rsidRDefault="006A07F5"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6B253681" wp14:editId="0DA8DB18">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A07F5" w:rsidRDefault="006A07F5" w:rsidP="0097324C"/>
                          <w:p w:rsidR="006A07F5" w:rsidRPr="00585866" w:rsidRDefault="006A07F5" w:rsidP="0097324C">
                            <w:pPr>
                              <w:rPr>
                                <w:rFonts w:ascii="Arial" w:hAnsi="Arial" w:cs="Arial"/>
                                <w:sz w:val="18"/>
                                <w:szCs w:val="18"/>
                              </w:rPr>
                            </w:pPr>
                            <w:r w:rsidRPr="00585866">
                              <w:rPr>
                                <w:rFonts w:ascii="Arial" w:hAnsi="Arial" w:cs="Arial"/>
                                <w:sz w:val="18"/>
                                <w:szCs w:val="18"/>
                              </w:rPr>
                              <w:t>WITNESSES</w:t>
                            </w:r>
                          </w:p>
                          <w:p w:rsidR="006A07F5" w:rsidRPr="00585866" w:rsidRDefault="006A07F5" w:rsidP="0097324C">
                            <w:pPr>
                              <w:rPr>
                                <w:rFonts w:ascii="Arial" w:hAnsi="Arial" w:cs="Arial"/>
                                <w:sz w:val="18"/>
                                <w:szCs w:val="18"/>
                              </w:rPr>
                            </w:pPr>
                          </w:p>
                          <w:p w:rsidR="006A07F5" w:rsidRPr="00585866" w:rsidRDefault="006A07F5"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A07F5" w:rsidRPr="00585866" w:rsidRDefault="006A07F5"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A07F5" w:rsidRDefault="006A07F5"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5368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6A07F5" w:rsidRDefault="006A07F5" w:rsidP="0097324C"/>
                    <w:p w:rsidR="006A07F5" w:rsidRPr="00585866" w:rsidRDefault="006A07F5" w:rsidP="0097324C">
                      <w:pPr>
                        <w:rPr>
                          <w:rFonts w:ascii="Arial" w:hAnsi="Arial" w:cs="Arial"/>
                          <w:sz w:val="18"/>
                          <w:szCs w:val="18"/>
                        </w:rPr>
                      </w:pPr>
                      <w:r w:rsidRPr="00585866">
                        <w:rPr>
                          <w:rFonts w:ascii="Arial" w:hAnsi="Arial" w:cs="Arial"/>
                          <w:sz w:val="18"/>
                          <w:szCs w:val="18"/>
                        </w:rPr>
                        <w:t>WITNESSES</w:t>
                      </w:r>
                    </w:p>
                    <w:p w:rsidR="006A07F5" w:rsidRPr="00585866" w:rsidRDefault="006A07F5" w:rsidP="0097324C">
                      <w:pPr>
                        <w:rPr>
                          <w:rFonts w:ascii="Arial" w:hAnsi="Arial" w:cs="Arial"/>
                          <w:sz w:val="18"/>
                          <w:szCs w:val="18"/>
                        </w:rPr>
                      </w:pPr>
                    </w:p>
                    <w:p w:rsidR="006A07F5" w:rsidRPr="00585866" w:rsidRDefault="006A07F5"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A07F5" w:rsidRPr="00585866" w:rsidRDefault="006A07F5"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A07F5" w:rsidRDefault="006A07F5"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1503D" w:rsidRDefault="00B1503D" w:rsidP="00B342CE"/>
    <w:p w:rsidR="00B1503D" w:rsidRDefault="00B1503D" w:rsidP="00B342CE"/>
    <w:p w:rsidR="00B1503D" w:rsidRDefault="00B1503D" w:rsidP="00B342CE"/>
    <w:p w:rsidR="00B1503D" w:rsidRDefault="00B1503D" w:rsidP="00B342CE"/>
    <w:p w:rsidR="00B1503D" w:rsidRDefault="00B1503D"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Default="00430220" w:rsidP="0065714E">
            <w:pPr>
              <w:tabs>
                <w:tab w:val="left" w:pos="3600"/>
                <w:tab w:val="left" w:leader="dot" w:pos="10980"/>
              </w:tabs>
              <w:rPr>
                <w:rFonts w:ascii="Arial" w:hAnsi="Arial" w:cs="Arial"/>
                <w:sz w:val="20"/>
                <w:szCs w:val="20"/>
              </w:rPr>
            </w:pPr>
          </w:p>
          <w:p w:rsidR="00B006B0" w:rsidRPr="00B134AC" w:rsidRDefault="00B006B0" w:rsidP="0065714E">
            <w:pPr>
              <w:tabs>
                <w:tab w:val="left" w:pos="3600"/>
                <w:tab w:val="left" w:leader="dot" w:pos="10980"/>
              </w:tabs>
              <w:rPr>
                <w:rFonts w:ascii="Arial" w:hAnsi="Arial" w:cs="Arial"/>
                <w:sz w:val="20"/>
                <w:szCs w:val="20"/>
              </w:rPr>
            </w:pPr>
          </w:p>
        </w:tc>
      </w:tr>
    </w:tbl>
    <w:p w:rsidR="00997AE0" w:rsidRDefault="00997AE0" w:rsidP="00E36C84">
      <w:pPr>
        <w:rPr>
          <w:rFonts w:ascii="Arial" w:hAnsi="Arial" w:cs="Arial"/>
          <w:sz w:val="22"/>
          <w:szCs w:val="22"/>
        </w:rPr>
      </w:pPr>
    </w:p>
    <w:p w:rsidR="00E73233" w:rsidRPr="00E36C84" w:rsidRDefault="00430220" w:rsidP="00E36C84">
      <w:pPr>
        <w:pStyle w:val="Heading1"/>
        <w:tabs>
          <w:tab w:val="num" w:pos="1931"/>
        </w:tabs>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w:t>
      </w:r>
      <w:bookmarkEnd w:id="9"/>
      <w:r w:rsidR="00E36C84">
        <w:rPr>
          <w:rFonts w:ascii="Arial" w:hAnsi="Arial" w:cs="Arial"/>
          <w:sz w:val="24"/>
          <w:szCs w:val="24"/>
        </w:rPr>
        <w:t>IFICATION</w:t>
      </w:r>
    </w:p>
    <w:p w:rsidR="00E73233" w:rsidRPr="00977961" w:rsidRDefault="00E73233" w:rsidP="00E73233">
      <w:pPr>
        <w:tabs>
          <w:tab w:val="left" w:pos="1088"/>
        </w:tabs>
        <w:ind w:right="-142"/>
        <w:jc w:val="both"/>
        <w:rPr>
          <w:rFonts w:ascii="Calibri" w:hAnsi="Calibri" w:cs="Arial"/>
          <w:sz w:val="20"/>
          <w:szCs w:val="20"/>
        </w:rPr>
      </w:pPr>
    </w:p>
    <w:p w:rsidR="00E73233" w:rsidRPr="00977961" w:rsidRDefault="00E73233" w:rsidP="00E73233">
      <w:pPr>
        <w:numPr>
          <w:ilvl w:val="0"/>
          <w:numId w:val="43"/>
        </w:numPr>
        <w:tabs>
          <w:tab w:val="left" w:pos="720"/>
        </w:tabs>
        <w:suppressAutoHyphens/>
        <w:spacing w:line="360" w:lineRule="auto"/>
        <w:ind w:left="720" w:right="-142" w:hanging="720"/>
        <w:jc w:val="both"/>
        <w:rPr>
          <w:rFonts w:ascii="Calibri" w:hAnsi="Calibri" w:cs="Arial"/>
          <w:b/>
          <w:sz w:val="20"/>
          <w:szCs w:val="20"/>
          <w:lang w:val="en-GB"/>
        </w:rPr>
      </w:pPr>
      <w:r w:rsidRPr="00977961">
        <w:rPr>
          <w:rFonts w:ascii="Calibri" w:hAnsi="Calibri" w:cs="Arial"/>
          <w:b/>
          <w:sz w:val="20"/>
          <w:szCs w:val="20"/>
          <w:lang w:val="en-GB"/>
        </w:rPr>
        <w:t>SPECIAL INSTRUCTIONS TO VENDORS</w:t>
      </w:r>
    </w:p>
    <w:p w:rsidR="00E73233" w:rsidRPr="00977961" w:rsidRDefault="00E73233" w:rsidP="00E73233">
      <w:pPr>
        <w:numPr>
          <w:ilvl w:val="1"/>
          <w:numId w:val="43"/>
        </w:numPr>
        <w:tabs>
          <w:tab w:val="left" w:pos="720"/>
        </w:tabs>
        <w:suppressAutoHyphens/>
        <w:spacing w:line="360" w:lineRule="auto"/>
        <w:ind w:left="720" w:right="-142" w:hanging="720"/>
        <w:jc w:val="both"/>
        <w:rPr>
          <w:rFonts w:ascii="Calibri" w:hAnsi="Calibri" w:cs="Arial"/>
          <w:sz w:val="20"/>
          <w:szCs w:val="20"/>
          <w:lang w:val="en-GB"/>
        </w:rPr>
      </w:pPr>
      <w:r w:rsidRPr="00977961">
        <w:rPr>
          <w:rFonts w:ascii="Calibri" w:hAnsi="Calibri" w:cs="Arial"/>
          <w:sz w:val="20"/>
          <w:szCs w:val="20"/>
        </w:rPr>
        <w:t>Bidders shall provide full and accurate answers to the mandatory qu</w:t>
      </w:r>
      <w:r>
        <w:rPr>
          <w:rFonts w:ascii="Calibri" w:hAnsi="Calibri" w:cs="Arial"/>
          <w:sz w:val="20"/>
          <w:szCs w:val="20"/>
        </w:rPr>
        <w:t xml:space="preserve">estions posed in this document </w:t>
      </w:r>
      <w:r w:rsidRPr="00977961">
        <w:rPr>
          <w:rFonts w:ascii="Calibri" w:hAnsi="Calibri" w:cs="Arial"/>
          <w:sz w:val="20"/>
          <w:szCs w:val="20"/>
        </w:rPr>
        <w:t xml:space="preserve">and where required explicitly state either “Comply/Not Comply” regarding compliance with the requirements. Bidders </w:t>
      </w:r>
      <w:r w:rsidRPr="00977961">
        <w:rPr>
          <w:rFonts w:ascii="Calibri" w:hAnsi="Calibri" w:cs="Arial"/>
          <w:b/>
          <w:sz w:val="20"/>
          <w:szCs w:val="20"/>
        </w:rPr>
        <w:t>must</w:t>
      </w:r>
      <w:r w:rsidRPr="00977961">
        <w:rPr>
          <w:rFonts w:ascii="Calibri" w:hAnsi="Calibri" w:cs="Arial"/>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E73233" w:rsidRPr="00977961" w:rsidRDefault="00E73233" w:rsidP="00E73233">
      <w:pPr>
        <w:pStyle w:val="ListParagraph"/>
        <w:ind w:right="-142"/>
        <w:jc w:val="both"/>
        <w:rPr>
          <w:rFonts w:ascii="Calibri" w:hAnsi="Calibri" w:cs="Arial"/>
          <w:sz w:val="20"/>
          <w:szCs w:val="20"/>
          <w:lang w:val="en-GB"/>
        </w:rPr>
      </w:pPr>
    </w:p>
    <w:p w:rsidR="00E73233" w:rsidRPr="00977961" w:rsidRDefault="00E73233" w:rsidP="00E73233">
      <w:pPr>
        <w:numPr>
          <w:ilvl w:val="1"/>
          <w:numId w:val="43"/>
        </w:numPr>
        <w:tabs>
          <w:tab w:val="left" w:pos="720"/>
        </w:tabs>
        <w:suppressAutoHyphens/>
        <w:spacing w:line="360" w:lineRule="auto"/>
        <w:ind w:left="720" w:right="-142" w:hanging="720"/>
        <w:jc w:val="both"/>
        <w:rPr>
          <w:rFonts w:ascii="Calibri" w:hAnsi="Calibri" w:cs="Arial"/>
          <w:sz w:val="20"/>
          <w:szCs w:val="20"/>
          <w:lang w:val="en-GB"/>
        </w:rPr>
      </w:pPr>
      <w:r w:rsidRPr="00977961">
        <w:rPr>
          <w:rFonts w:ascii="Calibri" w:hAnsi="Calibri" w:cs="Arial"/>
          <w:sz w:val="20"/>
          <w:szCs w:val="20"/>
        </w:rPr>
        <w:t>Vendors are encouraged to promote the growth and development of SMME's, and will be assessed on their efforts in this regard during the evaluation of this Tender.</w:t>
      </w:r>
    </w:p>
    <w:p w:rsidR="00E73233" w:rsidRPr="00977961" w:rsidRDefault="00E73233" w:rsidP="00E73233">
      <w:pPr>
        <w:pStyle w:val="ListParagraph"/>
        <w:rPr>
          <w:rFonts w:ascii="Calibri" w:hAnsi="Calibri" w:cs="Arial"/>
          <w:sz w:val="20"/>
          <w:szCs w:val="20"/>
          <w:lang w:val="en-GB"/>
        </w:rPr>
      </w:pPr>
    </w:p>
    <w:p w:rsidR="00E73233" w:rsidRPr="00977961" w:rsidRDefault="00E73233" w:rsidP="00E73233">
      <w:pPr>
        <w:numPr>
          <w:ilvl w:val="0"/>
          <w:numId w:val="43"/>
        </w:numPr>
        <w:tabs>
          <w:tab w:val="left" w:pos="720"/>
        </w:tabs>
        <w:suppressAutoHyphens/>
        <w:spacing w:line="360" w:lineRule="auto"/>
        <w:ind w:left="720" w:right="-142" w:hanging="720"/>
        <w:jc w:val="both"/>
        <w:rPr>
          <w:rFonts w:ascii="Calibri" w:hAnsi="Calibri" w:cs="Arial"/>
          <w:b/>
          <w:sz w:val="20"/>
          <w:szCs w:val="20"/>
          <w:lang w:val="en-GB"/>
        </w:rPr>
      </w:pPr>
      <w:r w:rsidRPr="00977961">
        <w:rPr>
          <w:rFonts w:ascii="Calibri" w:hAnsi="Calibri" w:cs="Arial"/>
          <w:b/>
          <w:sz w:val="20"/>
          <w:szCs w:val="20"/>
          <w:lang w:val="en-GB"/>
        </w:rPr>
        <w:t>ACRONYMS AND ABBREVIATIONS</w:t>
      </w:r>
    </w:p>
    <w:p w:rsidR="00E73233" w:rsidRPr="00977961" w:rsidRDefault="00E73233" w:rsidP="00E73233">
      <w:pPr>
        <w:spacing w:after="200" w:line="300" w:lineRule="auto"/>
        <w:ind w:left="851"/>
        <w:contextualSpacing/>
        <w:rPr>
          <w:rFonts w:ascii="Calibri" w:eastAsia="Calibri" w:hAnsi="Calibri"/>
          <w:b/>
          <w:sz w:val="20"/>
          <w:szCs w:val="20"/>
        </w:rPr>
      </w:pPr>
    </w:p>
    <w:tbl>
      <w:tblPr>
        <w:tblW w:w="6610" w:type="dxa"/>
        <w:tblInd w:w="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84"/>
        <w:gridCol w:w="4626"/>
      </w:tblGrid>
      <w:tr w:rsidR="00E73233" w:rsidRPr="00B32E08" w:rsidTr="00AF655E">
        <w:trPr>
          <w:trHeight w:val="217"/>
          <w:tblHeader/>
        </w:trPr>
        <w:tc>
          <w:tcPr>
            <w:tcW w:w="1984" w:type="dxa"/>
            <w:shd w:val="clear" w:color="auto" w:fill="E6E6E6"/>
          </w:tcPr>
          <w:p w:rsidR="00E73233" w:rsidRPr="00977961" w:rsidRDefault="00E73233" w:rsidP="00AF655E">
            <w:pPr>
              <w:widowControl w:val="0"/>
              <w:jc w:val="both"/>
              <w:rPr>
                <w:rFonts w:ascii="Calibri" w:eastAsia="Calibri" w:hAnsi="Calibri"/>
                <w:b/>
                <w:sz w:val="20"/>
                <w:szCs w:val="20"/>
              </w:rPr>
            </w:pPr>
            <w:r w:rsidRPr="00977961">
              <w:rPr>
                <w:rFonts w:ascii="Calibri" w:eastAsia="Calibri" w:hAnsi="Calibri"/>
                <w:b/>
                <w:sz w:val="20"/>
                <w:szCs w:val="20"/>
              </w:rPr>
              <w:t>Term</w:t>
            </w:r>
          </w:p>
        </w:tc>
        <w:tc>
          <w:tcPr>
            <w:tcW w:w="4626" w:type="dxa"/>
            <w:shd w:val="clear" w:color="auto" w:fill="E6E6E6"/>
          </w:tcPr>
          <w:p w:rsidR="00E73233" w:rsidRPr="00977961" w:rsidRDefault="00E73233" w:rsidP="00AF655E">
            <w:pPr>
              <w:widowControl w:val="0"/>
              <w:jc w:val="both"/>
              <w:rPr>
                <w:rFonts w:ascii="Calibri" w:eastAsia="Calibri" w:hAnsi="Calibri"/>
                <w:b/>
                <w:sz w:val="20"/>
                <w:szCs w:val="20"/>
              </w:rPr>
            </w:pPr>
            <w:r w:rsidRPr="00977961">
              <w:rPr>
                <w:rFonts w:ascii="Calibri" w:eastAsia="Calibri" w:hAnsi="Calibri"/>
                <w:b/>
                <w:sz w:val="20"/>
                <w:szCs w:val="20"/>
              </w:rPr>
              <w:t>Definition</w:t>
            </w:r>
          </w:p>
        </w:tc>
      </w:tr>
      <w:tr w:rsidR="00E73233" w:rsidRPr="00B32E08" w:rsidTr="00AF655E">
        <w:tc>
          <w:tcPr>
            <w:tcW w:w="1984" w:type="dxa"/>
          </w:tcPr>
          <w:p w:rsidR="00E73233" w:rsidRPr="00977961" w:rsidRDefault="00E73233" w:rsidP="00AF655E">
            <w:pPr>
              <w:keepLines/>
              <w:widowControl w:val="0"/>
              <w:jc w:val="both"/>
              <w:rPr>
                <w:rFonts w:ascii="Calibri" w:eastAsia="Calibri" w:hAnsi="Calibri"/>
                <w:sz w:val="20"/>
                <w:szCs w:val="20"/>
              </w:rPr>
            </w:pPr>
            <w:r w:rsidRPr="00977961">
              <w:rPr>
                <w:rFonts w:ascii="Calibri" w:eastAsia="Calibri" w:hAnsi="Calibri"/>
                <w:sz w:val="20"/>
                <w:szCs w:val="20"/>
              </w:rPr>
              <w:t>CDW</w:t>
            </w:r>
          </w:p>
        </w:tc>
        <w:tc>
          <w:tcPr>
            <w:tcW w:w="4626" w:type="dxa"/>
          </w:tcPr>
          <w:p w:rsidR="00E73233" w:rsidRPr="00977961" w:rsidRDefault="00E73233" w:rsidP="00AF655E">
            <w:pPr>
              <w:keepLines/>
              <w:widowControl w:val="0"/>
              <w:jc w:val="both"/>
              <w:rPr>
                <w:rFonts w:ascii="Calibri" w:eastAsia="Calibri" w:hAnsi="Calibri"/>
                <w:sz w:val="20"/>
                <w:szCs w:val="20"/>
              </w:rPr>
            </w:pPr>
            <w:r w:rsidRPr="00977961">
              <w:rPr>
                <w:rFonts w:ascii="Calibri" w:eastAsia="Calibri" w:hAnsi="Calibri"/>
                <w:sz w:val="20"/>
                <w:szCs w:val="20"/>
              </w:rPr>
              <w:t>Corporate Data Warehouse</w:t>
            </w:r>
          </w:p>
        </w:tc>
      </w:tr>
      <w:tr w:rsidR="00E73233" w:rsidRPr="00B32E08" w:rsidTr="00AF655E">
        <w:tc>
          <w:tcPr>
            <w:tcW w:w="1984" w:type="dxa"/>
          </w:tcPr>
          <w:p w:rsidR="00E73233" w:rsidRPr="00977961" w:rsidRDefault="00E73233" w:rsidP="00AF655E">
            <w:pPr>
              <w:keepLines/>
              <w:widowControl w:val="0"/>
              <w:jc w:val="both"/>
              <w:rPr>
                <w:rFonts w:ascii="Calibri" w:eastAsia="Calibri" w:hAnsi="Calibri"/>
                <w:sz w:val="20"/>
                <w:szCs w:val="20"/>
              </w:rPr>
            </w:pPr>
            <w:r w:rsidRPr="00977961">
              <w:rPr>
                <w:rFonts w:ascii="Calibri" w:eastAsia="Calibri" w:hAnsi="Calibri"/>
                <w:sz w:val="20"/>
                <w:szCs w:val="20"/>
              </w:rPr>
              <w:t>DB</w:t>
            </w:r>
          </w:p>
        </w:tc>
        <w:tc>
          <w:tcPr>
            <w:tcW w:w="4626" w:type="dxa"/>
          </w:tcPr>
          <w:p w:rsidR="00E73233" w:rsidRPr="00977961" w:rsidRDefault="00E73233" w:rsidP="00AF655E">
            <w:pPr>
              <w:keepLines/>
              <w:widowControl w:val="0"/>
              <w:jc w:val="both"/>
              <w:rPr>
                <w:rFonts w:ascii="Calibri" w:eastAsia="Calibri" w:hAnsi="Calibri"/>
                <w:sz w:val="20"/>
                <w:szCs w:val="20"/>
              </w:rPr>
            </w:pPr>
            <w:r w:rsidRPr="00977961">
              <w:rPr>
                <w:rFonts w:ascii="Calibri" w:eastAsia="Calibri" w:hAnsi="Calibri"/>
                <w:sz w:val="20"/>
                <w:szCs w:val="20"/>
              </w:rPr>
              <w:t>Database</w:t>
            </w:r>
          </w:p>
        </w:tc>
      </w:tr>
      <w:tr w:rsidR="00E73233" w:rsidRPr="00B32E08" w:rsidTr="00AF655E">
        <w:tc>
          <w:tcPr>
            <w:tcW w:w="1984" w:type="dxa"/>
          </w:tcPr>
          <w:p w:rsidR="00E73233" w:rsidRPr="00977961" w:rsidRDefault="00E73233" w:rsidP="00AF655E">
            <w:pPr>
              <w:keepLines/>
              <w:widowControl w:val="0"/>
              <w:jc w:val="both"/>
              <w:rPr>
                <w:rFonts w:ascii="Calibri" w:eastAsia="Calibri" w:hAnsi="Calibri"/>
                <w:sz w:val="20"/>
                <w:szCs w:val="20"/>
              </w:rPr>
            </w:pPr>
            <w:r>
              <w:rPr>
                <w:rFonts w:ascii="Calibri" w:eastAsia="Calibri" w:hAnsi="Calibri"/>
                <w:sz w:val="20"/>
                <w:szCs w:val="20"/>
              </w:rPr>
              <w:t>DOH</w:t>
            </w:r>
          </w:p>
        </w:tc>
        <w:tc>
          <w:tcPr>
            <w:tcW w:w="4626" w:type="dxa"/>
          </w:tcPr>
          <w:p w:rsidR="00E73233" w:rsidRPr="00977961" w:rsidRDefault="00E73233" w:rsidP="00AF655E">
            <w:pPr>
              <w:keepLines/>
              <w:widowControl w:val="0"/>
              <w:jc w:val="both"/>
              <w:rPr>
                <w:rFonts w:ascii="Calibri" w:eastAsia="Calibri" w:hAnsi="Calibri"/>
                <w:sz w:val="20"/>
                <w:szCs w:val="20"/>
              </w:rPr>
            </w:pPr>
            <w:r>
              <w:rPr>
                <w:rFonts w:ascii="Calibri" w:eastAsia="Calibri" w:hAnsi="Calibri"/>
                <w:sz w:val="20"/>
                <w:szCs w:val="20"/>
              </w:rPr>
              <w:t>Department of Health</w:t>
            </w:r>
          </w:p>
        </w:tc>
      </w:tr>
      <w:tr w:rsidR="00E73233" w:rsidRPr="00B32E08" w:rsidTr="00AF655E">
        <w:tc>
          <w:tcPr>
            <w:tcW w:w="1984" w:type="dxa"/>
          </w:tcPr>
          <w:p w:rsidR="00E73233" w:rsidRPr="00977961" w:rsidRDefault="00E73233" w:rsidP="00AF655E">
            <w:pPr>
              <w:keepLines/>
              <w:widowControl w:val="0"/>
              <w:jc w:val="both"/>
              <w:rPr>
                <w:rFonts w:ascii="Calibri" w:eastAsia="Calibri" w:hAnsi="Calibri"/>
                <w:sz w:val="20"/>
                <w:szCs w:val="20"/>
              </w:rPr>
            </w:pPr>
            <w:r w:rsidRPr="00977961">
              <w:rPr>
                <w:rFonts w:ascii="Calibri" w:eastAsia="Calibri" w:hAnsi="Calibri"/>
                <w:sz w:val="20"/>
                <w:szCs w:val="20"/>
              </w:rPr>
              <w:t>DR</w:t>
            </w:r>
          </w:p>
        </w:tc>
        <w:tc>
          <w:tcPr>
            <w:tcW w:w="4626" w:type="dxa"/>
          </w:tcPr>
          <w:p w:rsidR="00E73233" w:rsidRPr="00977961" w:rsidRDefault="00E73233" w:rsidP="00AF655E">
            <w:pPr>
              <w:keepLines/>
              <w:widowControl w:val="0"/>
              <w:jc w:val="both"/>
              <w:rPr>
                <w:rFonts w:ascii="Calibri" w:eastAsia="Calibri" w:hAnsi="Calibri"/>
                <w:sz w:val="20"/>
                <w:szCs w:val="20"/>
              </w:rPr>
            </w:pPr>
            <w:r w:rsidRPr="00977961">
              <w:rPr>
                <w:rFonts w:ascii="Calibri" w:eastAsia="Calibri" w:hAnsi="Calibri"/>
                <w:sz w:val="20"/>
                <w:szCs w:val="20"/>
              </w:rPr>
              <w:t>Disaster Recovery</w:t>
            </w:r>
          </w:p>
        </w:tc>
      </w:tr>
      <w:tr w:rsidR="00E73233" w:rsidRPr="00B32E08" w:rsidTr="00AF655E">
        <w:tc>
          <w:tcPr>
            <w:tcW w:w="1984" w:type="dxa"/>
          </w:tcPr>
          <w:p w:rsidR="00E73233" w:rsidRPr="00977961" w:rsidRDefault="00E73233" w:rsidP="00AF655E">
            <w:pPr>
              <w:keepLines/>
              <w:widowControl w:val="0"/>
              <w:jc w:val="both"/>
              <w:rPr>
                <w:rFonts w:ascii="Calibri" w:eastAsia="Calibri" w:hAnsi="Calibri"/>
                <w:sz w:val="20"/>
                <w:szCs w:val="20"/>
              </w:rPr>
            </w:pPr>
            <w:r w:rsidRPr="00977961">
              <w:rPr>
                <w:rFonts w:ascii="Calibri" w:eastAsia="Calibri" w:hAnsi="Calibri"/>
                <w:sz w:val="20"/>
                <w:szCs w:val="20"/>
              </w:rPr>
              <w:t>NHLS</w:t>
            </w:r>
          </w:p>
        </w:tc>
        <w:tc>
          <w:tcPr>
            <w:tcW w:w="4626" w:type="dxa"/>
          </w:tcPr>
          <w:p w:rsidR="00E73233" w:rsidRPr="00977961" w:rsidRDefault="00E73233" w:rsidP="00AF655E">
            <w:pPr>
              <w:keepLines/>
              <w:widowControl w:val="0"/>
              <w:jc w:val="both"/>
              <w:rPr>
                <w:rFonts w:ascii="Calibri" w:eastAsia="Calibri" w:hAnsi="Calibri"/>
                <w:sz w:val="20"/>
                <w:szCs w:val="20"/>
              </w:rPr>
            </w:pPr>
            <w:r w:rsidRPr="00977961">
              <w:rPr>
                <w:rFonts w:ascii="Calibri" w:eastAsia="Calibri" w:hAnsi="Calibri"/>
                <w:sz w:val="20"/>
                <w:szCs w:val="20"/>
              </w:rPr>
              <w:t>National Health Laboratory Service</w:t>
            </w:r>
          </w:p>
        </w:tc>
      </w:tr>
      <w:tr w:rsidR="00E73233" w:rsidRPr="00B32E08" w:rsidTr="00AF655E">
        <w:tc>
          <w:tcPr>
            <w:tcW w:w="1984" w:type="dxa"/>
          </w:tcPr>
          <w:p w:rsidR="00E73233" w:rsidRPr="00977961" w:rsidRDefault="00E73233" w:rsidP="00AF655E">
            <w:pPr>
              <w:keepLines/>
              <w:widowControl w:val="0"/>
              <w:jc w:val="both"/>
              <w:rPr>
                <w:rFonts w:ascii="Calibri" w:eastAsia="Calibri" w:hAnsi="Calibri"/>
                <w:sz w:val="20"/>
                <w:szCs w:val="20"/>
              </w:rPr>
            </w:pPr>
            <w:r w:rsidRPr="00977961">
              <w:rPr>
                <w:rFonts w:ascii="Calibri" w:eastAsia="Calibri" w:hAnsi="Calibri"/>
                <w:sz w:val="20"/>
                <w:szCs w:val="20"/>
              </w:rPr>
              <w:t>SLA</w:t>
            </w:r>
          </w:p>
        </w:tc>
        <w:tc>
          <w:tcPr>
            <w:tcW w:w="4626" w:type="dxa"/>
          </w:tcPr>
          <w:p w:rsidR="00E73233" w:rsidRPr="00977961" w:rsidRDefault="00E73233" w:rsidP="00AF655E">
            <w:pPr>
              <w:keepLines/>
              <w:widowControl w:val="0"/>
              <w:jc w:val="both"/>
              <w:rPr>
                <w:rFonts w:ascii="Calibri" w:eastAsia="Calibri" w:hAnsi="Calibri"/>
                <w:sz w:val="20"/>
                <w:szCs w:val="20"/>
              </w:rPr>
            </w:pPr>
            <w:r w:rsidRPr="00977961">
              <w:rPr>
                <w:rFonts w:ascii="Calibri" w:eastAsia="Calibri" w:hAnsi="Calibri"/>
                <w:sz w:val="20"/>
                <w:szCs w:val="20"/>
              </w:rPr>
              <w:t>Service Level Agreement</w:t>
            </w:r>
          </w:p>
        </w:tc>
      </w:tr>
      <w:tr w:rsidR="00E73233" w:rsidRPr="00B32E08" w:rsidTr="00AF655E">
        <w:tc>
          <w:tcPr>
            <w:tcW w:w="1984" w:type="dxa"/>
          </w:tcPr>
          <w:p w:rsidR="00E73233" w:rsidRPr="00977961" w:rsidRDefault="00E73233" w:rsidP="00AF655E">
            <w:pPr>
              <w:keepLines/>
              <w:widowControl w:val="0"/>
              <w:jc w:val="both"/>
              <w:rPr>
                <w:rFonts w:ascii="Calibri" w:eastAsia="Calibri" w:hAnsi="Calibri"/>
                <w:sz w:val="20"/>
                <w:szCs w:val="20"/>
              </w:rPr>
            </w:pPr>
            <w:r>
              <w:rPr>
                <w:rFonts w:ascii="Calibri" w:eastAsia="Calibri" w:hAnsi="Calibri"/>
                <w:sz w:val="20"/>
                <w:szCs w:val="20"/>
              </w:rPr>
              <w:t>ETL</w:t>
            </w:r>
          </w:p>
        </w:tc>
        <w:tc>
          <w:tcPr>
            <w:tcW w:w="4626" w:type="dxa"/>
          </w:tcPr>
          <w:p w:rsidR="00E73233" w:rsidRPr="00977961" w:rsidRDefault="00E73233" w:rsidP="00AF655E">
            <w:pPr>
              <w:keepLines/>
              <w:widowControl w:val="0"/>
              <w:jc w:val="both"/>
              <w:rPr>
                <w:rFonts w:ascii="Calibri" w:eastAsia="Calibri" w:hAnsi="Calibri"/>
                <w:sz w:val="20"/>
                <w:szCs w:val="20"/>
              </w:rPr>
            </w:pPr>
            <w:r>
              <w:rPr>
                <w:rFonts w:ascii="Calibri" w:eastAsia="Calibri" w:hAnsi="Calibri"/>
                <w:sz w:val="20"/>
                <w:szCs w:val="20"/>
              </w:rPr>
              <w:t>Extract Transform Load</w:t>
            </w:r>
          </w:p>
        </w:tc>
      </w:tr>
    </w:tbl>
    <w:p w:rsidR="00E73233" w:rsidRPr="00977961" w:rsidRDefault="00E73233" w:rsidP="00E73233">
      <w:pPr>
        <w:tabs>
          <w:tab w:val="left" w:pos="720"/>
        </w:tabs>
        <w:suppressAutoHyphens/>
        <w:spacing w:line="360" w:lineRule="auto"/>
        <w:ind w:right="-142"/>
        <w:jc w:val="both"/>
        <w:rPr>
          <w:rFonts w:ascii="Calibri" w:hAnsi="Calibri" w:cs="Arial"/>
          <w:b/>
          <w:sz w:val="20"/>
          <w:szCs w:val="20"/>
          <w:lang w:val="en-GB"/>
        </w:rPr>
      </w:pPr>
    </w:p>
    <w:p w:rsidR="00E73233" w:rsidRPr="00977961" w:rsidRDefault="00E73233" w:rsidP="00E73233">
      <w:pPr>
        <w:tabs>
          <w:tab w:val="left" w:pos="720"/>
        </w:tabs>
        <w:suppressAutoHyphens/>
        <w:spacing w:line="360" w:lineRule="auto"/>
        <w:ind w:left="720" w:right="-142"/>
        <w:jc w:val="both"/>
        <w:rPr>
          <w:rFonts w:ascii="Calibri" w:hAnsi="Calibri" w:cs="Arial"/>
          <w:b/>
          <w:sz w:val="20"/>
          <w:szCs w:val="20"/>
          <w:lang w:val="en-GB"/>
        </w:rPr>
      </w:pPr>
    </w:p>
    <w:p w:rsidR="00E73233" w:rsidRPr="00977961" w:rsidRDefault="00E73233" w:rsidP="00E73233">
      <w:pPr>
        <w:numPr>
          <w:ilvl w:val="1"/>
          <w:numId w:val="43"/>
        </w:numPr>
        <w:tabs>
          <w:tab w:val="left" w:pos="720"/>
        </w:tabs>
        <w:suppressAutoHyphens/>
        <w:spacing w:line="360" w:lineRule="auto"/>
        <w:ind w:right="-142"/>
        <w:jc w:val="both"/>
        <w:rPr>
          <w:rFonts w:ascii="Calibri" w:hAnsi="Calibri" w:cs="Arial"/>
          <w:b/>
          <w:sz w:val="20"/>
          <w:szCs w:val="20"/>
          <w:lang w:val="en-GB"/>
        </w:rPr>
      </w:pPr>
      <w:r w:rsidRPr="00977961">
        <w:rPr>
          <w:rFonts w:ascii="Calibri" w:hAnsi="Calibri" w:cs="Arial"/>
          <w:b/>
          <w:sz w:val="20"/>
          <w:szCs w:val="20"/>
          <w:lang w:val="en-GB"/>
        </w:rPr>
        <w:t>Introduction</w:t>
      </w:r>
    </w:p>
    <w:p w:rsidR="00E73233" w:rsidRPr="00977961" w:rsidRDefault="00E73233" w:rsidP="00E73233">
      <w:pPr>
        <w:spacing w:line="360" w:lineRule="auto"/>
        <w:ind w:left="851"/>
        <w:jc w:val="both"/>
        <w:rPr>
          <w:rFonts w:ascii="Calibri" w:hAnsi="Calibri" w:cs="Arial"/>
          <w:sz w:val="20"/>
          <w:szCs w:val="20"/>
          <w:lang w:val="en-GB"/>
        </w:rPr>
      </w:pPr>
      <w:r w:rsidRPr="00977961">
        <w:rPr>
          <w:rFonts w:ascii="Calibri" w:hAnsi="Calibri" w:cs="Arial"/>
          <w:sz w:val="20"/>
          <w:szCs w:val="20"/>
          <w:lang w:val="en-GB"/>
        </w:rPr>
        <w:t>The NHLS was established in 2001 by an Act of Parliament to provide diagnostic pathology laboratory services to the national and provincial health departments</w:t>
      </w:r>
      <w:r>
        <w:rPr>
          <w:rFonts w:ascii="Calibri" w:hAnsi="Calibri" w:cs="Arial"/>
          <w:sz w:val="20"/>
          <w:szCs w:val="20"/>
          <w:lang w:val="en-GB"/>
        </w:rPr>
        <w:t xml:space="preserve"> (DOH)</w:t>
      </w:r>
      <w:r w:rsidRPr="00977961">
        <w:rPr>
          <w:rFonts w:ascii="Calibri" w:hAnsi="Calibri" w:cs="Arial"/>
          <w:sz w:val="20"/>
          <w:szCs w:val="20"/>
          <w:lang w:val="en-GB"/>
        </w:rPr>
        <w:t>. The NHLS is a public health laboratory service with laboratories across South Africa. Its activities comprise diagnostic laboratory services, research, teaching and training, and production of sera for anti-snake venom, reagents, and media. At the core of the NHLS is next generation pathology excellence that supports the mandate of the Department of Health</w:t>
      </w:r>
      <w:r>
        <w:rPr>
          <w:rFonts w:ascii="Calibri" w:hAnsi="Calibri" w:cs="Arial"/>
          <w:sz w:val="20"/>
          <w:szCs w:val="20"/>
          <w:lang w:val="en-GB"/>
        </w:rPr>
        <w:t xml:space="preserve"> </w:t>
      </w:r>
    </w:p>
    <w:p w:rsidR="00E73233" w:rsidRPr="00977961" w:rsidRDefault="00E73233" w:rsidP="00E73233">
      <w:pPr>
        <w:spacing w:line="360" w:lineRule="auto"/>
        <w:ind w:left="851"/>
        <w:jc w:val="both"/>
        <w:rPr>
          <w:rFonts w:ascii="Calibri" w:hAnsi="Calibri" w:cs="Arial"/>
          <w:noProof/>
          <w:color w:val="333333"/>
          <w:sz w:val="20"/>
          <w:szCs w:val="20"/>
        </w:rPr>
      </w:pPr>
    </w:p>
    <w:p w:rsidR="00E73233" w:rsidRPr="00977961" w:rsidRDefault="00E73233" w:rsidP="00E73233">
      <w:pPr>
        <w:spacing w:line="360" w:lineRule="auto"/>
        <w:ind w:left="848"/>
        <w:jc w:val="both"/>
        <w:rPr>
          <w:rFonts w:ascii="Calibri" w:hAnsi="Calibri" w:cs="Arial"/>
          <w:sz w:val="20"/>
          <w:szCs w:val="20"/>
          <w:lang w:val="en-GB"/>
        </w:rPr>
      </w:pPr>
      <w:r w:rsidRPr="00977961">
        <w:rPr>
          <w:rFonts w:ascii="Calibri" w:hAnsi="Calibri" w:cs="Arial"/>
          <w:noProof/>
          <w:color w:val="333333"/>
          <w:sz w:val="20"/>
          <w:szCs w:val="20"/>
        </w:rPr>
        <w:t>•</w:t>
      </w:r>
      <w:r w:rsidRPr="00977961">
        <w:rPr>
          <w:rFonts w:ascii="Calibri" w:hAnsi="Calibri" w:cs="Arial"/>
          <w:noProof/>
          <w:color w:val="333333"/>
          <w:sz w:val="20"/>
          <w:szCs w:val="20"/>
        </w:rPr>
        <w:tab/>
      </w:r>
      <w:r w:rsidRPr="00977961">
        <w:rPr>
          <w:rFonts w:ascii="Calibri" w:hAnsi="Calibri" w:cs="Arial"/>
          <w:sz w:val="20"/>
          <w:szCs w:val="20"/>
          <w:lang w:val="en-GB"/>
        </w:rPr>
        <w:t xml:space="preserve">The NHLS is the largest diagnostic pathology laboratory service in South Africa. </w:t>
      </w:r>
    </w:p>
    <w:p w:rsidR="00E73233" w:rsidRPr="00977961" w:rsidRDefault="00E73233" w:rsidP="00E73233">
      <w:pPr>
        <w:spacing w:line="360" w:lineRule="auto"/>
        <w:ind w:left="848"/>
        <w:jc w:val="both"/>
        <w:rPr>
          <w:rFonts w:ascii="Calibri" w:hAnsi="Calibri" w:cs="Arial"/>
          <w:sz w:val="20"/>
          <w:szCs w:val="20"/>
          <w:lang w:val="en-GB"/>
        </w:rPr>
      </w:pPr>
      <w:r w:rsidRPr="00977961">
        <w:rPr>
          <w:rFonts w:ascii="Calibri" w:hAnsi="Calibri" w:cs="Arial"/>
          <w:sz w:val="20"/>
          <w:szCs w:val="20"/>
          <w:lang w:val="en-GB"/>
        </w:rPr>
        <w:t>•</w:t>
      </w:r>
      <w:r w:rsidRPr="00977961">
        <w:rPr>
          <w:rFonts w:ascii="Calibri" w:hAnsi="Calibri" w:cs="Arial"/>
          <w:sz w:val="20"/>
          <w:szCs w:val="20"/>
          <w:lang w:val="en-GB"/>
        </w:rPr>
        <w:tab/>
        <w:t xml:space="preserve">The NHLS employs approximately </w:t>
      </w:r>
      <w:r>
        <w:rPr>
          <w:rFonts w:ascii="Calibri" w:hAnsi="Calibri" w:cs="Arial"/>
          <w:sz w:val="20"/>
          <w:szCs w:val="20"/>
          <w:lang w:val="en-GB"/>
        </w:rPr>
        <w:t>8</w:t>
      </w:r>
      <w:r w:rsidRPr="00977961">
        <w:rPr>
          <w:rFonts w:ascii="Calibri" w:hAnsi="Calibri" w:cs="Arial"/>
          <w:sz w:val="20"/>
          <w:szCs w:val="20"/>
          <w:lang w:val="en-GB"/>
        </w:rPr>
        <w:t>,</w:t>
      </w:r>
      <w:r>
        <w:rPr>
          <w:rFonts w:ascii="Calibri" w:hAnsi="Calibri" w:cs="Arial"/>
          <w:sz w:val="20"/>
          <w:szCs w:val="20"/>
          <w:lang w:val="en-GB"/>
        </w:rPr>
        <w:t>0</w:t>
      </w:r>
      <w:r w:rsidRPr="00977961">
        <w:rPr>
          <w:rFonts w:ascii="Calibri" w:hAnsi="Calibri" w:cs="Arial"/>
          <w:sz w:val="20"/>
          <w:szCs w:val="20"/>
          <w:lang w:val="en-GB"/>
        </w:rPr>
        <w:t xml:space="preserve">00 staff. </w:t>
      </w:r>
    </w:p>
    <w:p w:rsidR="00E73233" w:rsidRPr="00977961" w:rsidRDefault="00E73233" w:rsidP="00E73233">
      <w:pPr>
        <w:spacing w:line="360" w:lineRule="auto"/>
        <w:ind w:left="848"/>
        <w:jc w:val="both"/>
        <w:rPr>
          <w:rFonts w:ascii="Calibri" w:hAnsi="Calibri" w:cs="Arial"/>
          <w:sz w:val="20"/>
          <w:szCs w:val="20"/>
          <w:lang w:val="en-GB"/>
        </w:rPr>
      </w:pPr>
      <w:r w:rsidRPr="00977961">
        <w:rPr>
          <w:rFonts w:ascii="Calibri" w:hAnsi="Calibri" w:cs="Arial"/>
          <w:sz w:val="20"/>
          <w:szCs w:val="20"/>
          <w:lang w:val="en-GB"/>
        </w:rPr>
        <w:t>•</w:t>
      </w:r>
      <w:r w:rsidRPr="00977961">
        <w:rPr>
          <w:rFonts w:ascii="Calibri" w:hAnsi="Calibri" w:cs="Arial"/>
          <w:sz w:val="20"/>
          <w:szCs w:val="20"/>
          <w:lang w:val="en-GB"/>
        </w:rPr>
        <w:tab/>
        <w:t>There are 26</w:t>
      </w:r>
      <w:r>
        <w:rPr>
          <w:rFonts w:ascii="Calibri" w:hAnsi="Calibri" w:cs="Arial"/>
          <w:sz w:val="20"/>
          <w:szCs w:val="20"/>
          <w:lang w:val="en-GB"/>
        </w:rPr>
        <w:t>0</w:t>
      </w:r>
      <w:r w:rsidRPr="00977961">
        <w:rPr>
          <w:rFonts w:ascii="Calibri" w:hAnsi="Calibri" w:cs="Arial"/>
          <w:sz w:val="20"/>
          <w:szCs w:val="20"/>
          <w:lang w:val="en-GB"/>
        </w:rPr>
        <w:t xml:space="preserve"> laboratories across the nine provinces. </w:t>
      </w:r>
    </w:p>
    <w:p w:rsidR="00E73233" w:rsidRPr="00997AE0" w:rsidRDefault="00E73233" w:rsidP="00997AE0">
      <w:pPr>
        <w:spacing w:line="360" w:lineRule="auto"/>
        <w:ind w:left="848"/>
        <w:jc w:val="both"/>
        <w:rPr>
          <w:rFonts w:ascii="Calibri" w:hAnsi="Calibri" w:cs="Arial"/>
          <w:sz w:val="20"/>
          <w:szCs w:val="20"/>
          <w:lang w:val="en-GB"/>
        </w:rPr>
      </w:pPr>
      <w:r w:rsidRPr="00977961">
        <w:rPr>
          <w:rFonts w:ascii="Calibri" w:hAnsi="Calibri" w:cs="Arial"/>
          <w:sz w:val="20"/>
          <w:szCs w:val="20"/>
          <w:lang w:val="en-GB"/>
        </w:rPr>
        <w:t>•</w:t>
      </w:r>
      <w:r w:rsidRPr="00977961">
        <w:rPr>
          <w:rFonts w:ascii="Calibri" w:hAnsi="Calibri" w:cs="Arial"/>
          <w:sz w:val="20"/>
          <w:szCs w:val="20"/>
          <w:lang w:val="en-GB"/>
        </w:rPr>
        <w:tab/>
        <w:t>The NHLS serves approximately 80% of the South African population</w:t>
      </w:r>
    </w:p>
    <w:p w:rsidR="00E73233" w:rsidRPr="00977961" w:rsidRDefault="00E73233" w:rsidP="00E73233">
      <w:pPr>
        <w:numPr>
          <w:ilvl w:val="1"/>
          <w:numId w:val="43"/>
        </w:numPr>
        <w:tabs>
          <w:tab w:val="left" w:pos="720"/>
        </w:tabs>
        <w:suppressAutoHyphens/>
        <w:spacing w:line="360" w:lineRule="auto"/>
        <w:ind w:right="-142"/>
        <w:jc w:val="both"/>
        <w:rPr>
          <w:rFonts w:ascii="Calibri" w:hAnsi="Calibri" w:cs="Arial"/>
          <w:b/>
          <w:sz w:val="20"/>
          <w:szCs w:val="20"/>
          <w:lang w:val="en-GB"/>
        </w:rPr>
      </w:pPr>
      <w:r w:rsidRPr="00977961">
        <w:rPr>
          <w:rFonts w:ascii="Calibri" w:hAnsi="Calibri" w:cs="Arial"/>
          <w:b/>
          <w:sz w:val="20"/>
          <w:szCs w:val="20"/>
          <w:lang w:val="en-GB"/>
        </w:rPr>
        <w:t>Background</w:t>
      </w:r>
    </w:p>
    <w:p w:rsidR="00E73233" w:rsidRDefault="00E73233" w:rsidP="00E73233">
      <w:pPr>
        <w:spacing w:line="360" w:lineRule="auto"/>
        <w:ind w:left="851"/>
        <w:jc w:val="both"/>
        <w:rPr>
          <w:rFonts w:ascii="Calibri" w:hAnsi="Calibri" w:cs="Arial"/>
          <w:sz w:val="20"/>
          <w:szCs w:val="20"/>
        </w:rPr>
      </w:pPr>
      <w:r w:rsidRPr="00977961">
        <w:rPr>
          <w:rFonts w:ascii="Calibri" w:hAnsi="Calibri" w:cs="Arial"/>
          <w:sz w:val="20"/>
          <w:szCs w:val="20"/>
        </w:rPr>
        <w:t xml:space="preserve">The NHLS has selected </w:t>
      </w:r>
      <w:proofErr w:type="spellStart"/>
      <w:r>
        <w:rPr>
          <w:rFonts w:ascii="Calibri" w:hAnsi="Calibri" w:cs="Arial"/>
          <w:sz w:val="20"/>
          <w:szCs w:val="20"/>
        </w:rPr>
        <w:t>Netezza</w:t>
      </w:r>
      <w:proofErr w:type="spellEnd"/>
      <w:r>
        <w:rPr>
          <w:rFonts w:ascii="Calibri" w:hAnsi="Calibri" w:cs="Arial"/>
          <w:sz w:val="20"/>
          <w:szCs w:val="20"/>
        </w:rPr>
        <w:t xml:space="preserve"> Technology </w:t>
      </w:r>
      <w:r w:rsidRPr="00977961">
        <w:rPr>
          <w:rFonts w:ascii="Calibri" w:hAnsi="Calibri" w:cs="Arial"/>
          <w:sz w:val="20"/>
          <w:szCs w:val="20"/>
        </w:rPr>
        <w:t>for Corporate Data Warehouse (CDW)</w:t>
      </w:r>
      <w:r>
        <w:rPr>
          <w:rFonts w:ascii="Calibri" w:hAnsi="Calibri" w:cs="Arial"/>
          <w:sz w:val="20"/>
          <w:szCs w:val="20"/>
        </w:rPr>
        <w:t xml:space="preserve"> which runs on Linux environment</w:t>
      </w:r>
      <w:r w:rsidRPr="00977961">
        <w:rPr>
          <w:rFonts w:ascii="Calibri" w:hAnsi="Calibri" w:cs="Arial"/>
          <w:sz w:val="20"/>
          <w:szCs w:val="20"/>
        </w:rPr>
        <w:t xml:space="preserve">. There are two (2) </w:t>
      </w:r>
      <w:proofErr w:type="spellStart"/>
      <w:r>
        <w:rPr>
          <w:rFonts w:ascii="Calibri" w:hAnsi="Calibri" w:cs="Arial"/>
          <w:sz w:val="20"/>
          <w:szCs w:val="20"/>
        </w:rPr>
        <w:t>Netezza</w:t>
      </w:r>
      <w:proofErr w:type="spellEnd"/>
      <w:r w:rsidRPr="00977961">
        <w:rPr>
          <w:rFonts w:ascii="Calibri" w:hAnsi="Calibri" w:cs="Arial"/>
          <w:sz w:val="20"/>
          <w:szCs w:val="20"/>
        </w:rPr>
        <w:t xml:space="preserve"> environments, i.e. Development</w:t>
      </w:r>
      <w:r>
        <w:rPr>
          <w:rFonts w:ascii="Calibri" w:hAnsi="Calibri" w:cs="Arial"/>
          <w:sz w:val="20"/>
          <w:szCs w:val="20"/>
        </w:rPr>
        <w:t>/QA and Production. To query the data in the data warehouse we use Aginity querying tools.</w:t>
      </w:r>
    </w:p>
    <w:p w:rsidR="00E73233" w:rsidRPr="00977961" w:rsidRDefault="00E73233" w:rsidP="00E73233">
      <w:pPr>
        <w:tabs>
          <w:tab w:val="left" w:pos="720"/>
        </w:tabs>
        <w:suppressAutoHyphens/>
        <w:spacing w:line="360" w:lineRule="auto"/>
        <w:ind w:right="-142"/>
        <w:jc w:val="both"/>
        <w:rPr>
          <w:rFonts w:ascii="Calibri" w:hAnsi="Calibri" w:cs="Arial"/>
          <w:b/>
          <w:sz w:val="20"/>
          <w:szCs w:val="20"/>
          <w:lang w:val="en-GB"/>
        </w:rPr>
      </w:pPr>
    </w:p>
    <w:p w:rsidR="00E73233" w:rsidRPr="00D64D59" w:rsidRDefault="00E73233" w:rsidP="00E73233">
      <w:pPr>
        <w:numPr>
          <w:ilvl w:val="1"/>
          <w:numId w:val="43"/>
        </w:numPr>
        <w:tabs>
          <w:tab w:val="left" w:pos="720"/>
        </w:tabs>
        <w:suppressAutoHyphens/>
        <w:spacing w:line="360" w:lineRule="auto"/>
        <w:ind w:right="-142"/>
        <w:jc w:val="both"/>
        <w:rPr>
          <w:rFonts w:ascii="Calibri" w:hAnsi="Calibri" w:cs="Arial"/>
          <w:b/>
          <w:sz w:val="20"/>
          <w:szCs w:val="20"/>
          <w:lang w:val="en-GB"/>
        </w:rPr>
      </w:pPr>
      <w:r w:rsidRPr="00977961">
        <w:rPr>
          <w:rFonts w:ascii="Calibri" w:hAnsi="Calibri" w:cs="Arial"/>
          <w:b/>
          <w:sz w:val="20"/>
          <w:szCs w:val="20"/>
          <w:lang w:val="en-GB"/>
        </w:rPr>
        <w:t xml:space="preserve">Scope of Work </w:t>
      </w:r>
    </w:p>
    <w:p w:rsidR="00E73233" w:rsidRDefault="00E73233" w:rsidP="00E73233">
      <w:pPr>
        <w:pStyle w:val="Header"/>
        <w:spacing w:line="360" w:lineRule="auto"/>
        <w:ind w:left="720"/>
        <w:rPr>
          <w:rFonts w:ascii="Calibri" w:hAnsi="Calibri" w:cs="Arial"/>
          <w:sz w:val="20"/>
        </w:rPr>
      </w:pPr>
      <w:r w:rsidRPr="00977961">
        <w:rPr>
          <w:rFonts w:ascii="Calibri" w:hAnsi="Calibri" w:cs="Arial"/>
          <w:sz w:val="20"/>
        </w:rPr>
        <w:t xml:space="preserve">The National Health Laboratory Services (NHLS) hereby invites suitably qualified bidders to submit proposals </w:t>
      </w:r>
      <w:r>
        <w:rPr>
          <w:rFonts w:ascii="Calibri" w:hAnsi="Calibri" w:cs="Arial"/>
          <w:sz w:val="20"/>
        </w:rPr>
        <w:t>to provide Aginity Pro Licenses for 33 users</w:t>
      </w:r>
      <w:r w:rsidRPr="00977961">
        <w:rPr>
          <w:rFonts w:ascii="Calibri" w:hAnsi="Calibri" w:cs="Arial"/>
          <w:sz w:val="20"/>
        </w:rPr>
        <w:t xml:space="preserve">. </w:t>
      </w:r>
    </w:p>
    <w:p w:rsidR="00E73233" w:rsidRPr="00977961" w:rsidRDefault="00E73233" w:rsidP="00E73233">
      <w:pPr>
        <w:tabs>
          <w:tab w:val="left" w:pos="720"/>
          <w:tab w:val="left" w:pos="1276"/>
        </w:tabs>
        <w:suppressAutoHyphens/>
        <w:spacing w:line="360" w:lineRule="auto"/>
        <w:ind w:left="720" w:right="-142"/>
        <w:jc w:val="both"/>
        <w:rPr>
          <w:rFonts w:ascii="Calibri" w:hAnsi="Calibri" w:cs="Arial"/>
          <w:sz w:val="20"/>
          <w:szCs w:val="20"/>
          <w:lang w:val="en-GB"/>
        </w:rPr>
      </w:pPr>
      <w:r>
        <w:rPr>
          <w:rFonts w:ascii="Calibri" w:hAnsi="Calibri" w:cs="Arial"/>
          <w:sz w:val="20"/>
          <w:szCs w:val="20"/>
          <w:lang w:val="en-GB"/>
        </w:rPr>
        <w:t xml:space="preserve">         </w:t>
      </w:r>
    </w:p>
    <w:p w:rsidR="00E73233" w:rsidRPr="00977961" w:rsidRDefault="00E73233" w:rsidP="00E73233">
      <w:pPr>
        <w:tabs>
          <w:tab w:val="left" w:pos="720"/>
        </w:tabs>
        <w:suppressAutoHyphens/>
        <w:spacing w:line="360" w:lineRule="auto"/>
        <w:ind w:left="720" w:right="-142"/>
        <w:jc w:val="both"/>
        <w:rPr>
          <w:rFonts w:ascii="Calibri" w:hAnsi="Calibri" w:cs="Arial"/>
          <w:b/>
          <w:sz w:val="20"/>
          <w:szCs w:val="20"/>
          <w:lang w:val="en-GB"/>
        </w:rPr>
      </w:pPr>
      <w:r w:rsidRPr="00977961">
        <w:rPr>
          <w:rFonts w:ascii="Calibri" w:hAnsi="Calibri" w:cs="Arial"/>
          <w:b/>
          <w:sz w:val="20"/>
          <w:szCs w:val="20"/>
          <w:lang w:val="en-GB"/>
        </w:rPr>
        <w:t>Main Activities</w:t>
      </w:r>
    </w:p>
    <w:p w:rsidR="00E73233" w:rsidRPr="00D64D59" w:rsidRDefault="00E73233" w:rsidP="00E73233">
      <w:pPr>
        <w:numPr>
          <w:ilvl w:val="0"/>
          <w:numId w:val="44"/>
        </w:numPr>
        <w:tabs>
          <w:tab w:val="left" w:pos="720"/>
          <w:tab w:val="left" w:pos="1276"/>
        </w:tabs>
        <w:suppressAutoHyphens/>
        <w:spacing w:line="360" w:lineRule="auto"/>
        <w:ind w:left="1800" w:right="-142"/>
        <w:jc w:val="both"/>
        <w:rPr>
          <w:rFonts w:ascii="Calibri" w:hAnsi="Calibri" w:cs="Arial"/>
          <w:sz w:val="20"/>
          <w:szCs w:val="20"/>
          <w:lang w:val="en-GB"/>
        </w:rPr>
      </w:pPr>
      <w:r>
        <w:rPr>
          <w:rFonts w:ascii="Calibri" w:hAnsi="Calibri" w:cs="Arial"/>
          <w:sz w:val="20"/>
        </w:rPr>
        <w:t>Provide Aginity Pro Licenses for 33 users</w:t>
      </w:r>
      <w:r w:rsidRPr="00977961">
        <w:rPr>
          <w:rFonts w:ascii="Calibri" w:hAnsi="Calibri" w:cs="Arial"/>
          <w:sz w:val="20"/>
        </w:rPr>
        <w:t>.</w:t>
      </w:r>
    </w:p>
    <w:p w:rsidR="00E73233" w:rsidRDefault="00E73233" w:rsidP="00E73233">
      <w:pPr>
        <w:tabs>
          <w:tab w:val="left" w:pos="720"/>
        </w:tabs>
        <w:suppressAutoHyphens/>
        <w:spacing w:line="360" w:lineRule="auto"/>
        <w:ind w:left="1418" w:right="-142"/>
        <w:jc w:val="both"/>
        <w:rPr>
          <w:rFonts w:ascii="Calibri" w:hAnsi="Calibri" w:cs="Arial"/>
          <w:sz w:val="20"/>
          <w:szCs w:val="20"/>
          <w:lang w:val="en-GB"/>
        </w:rPr>
      </w:pPr>
    </w:p>
    <w:p w:rsidR="00E73233" w:rsidRPr="000D4FB2" w:rsidRDefault="00E73233" w:rsidP="00E73233">
      <w:pPr>
        <w:numPr>
          <w:ilvl w:val="1"/>
          <w:numId w:val="43"/>
        </w:numPr>
        <w:tabs>
          <w:tab w:val="left" w:pos="720"/>
        </w:tabs>
        <w:suppressAutoHyphens/>
        <w:spacing w:line="360" w:lineRule="auto"/>
        <w:ind w:right="-142"/>
        <w:jc w:val="both"/>
        <w:rPr>
          <w:rFonts w:ascii="Calibri" w:hAnsi="Calibri" w:cs="Arial"/>
          <w:sz w:val="20"/>
          <w:szCs w:val="20"/>
          <w:lang w:val="en-GB"/>
        </w:rPr>
      </w:pPr>
      <w:r w:rsidRPr="000D4FB2">
        <w:rPr>
          <w:rFonts w:ascii="Calibri" w:hAnsi="Calibri" w:cs="Arial"/>
          <w:b/>
          <w:sz w:val="20"/>
          <w:szCs w:val="20"/>
          <w:lang w:val="en-GB"/>
        </w:rPr>
        <w:t>Server Appliances</w:t>
      </w:r>
    </w:p>
    <w:p w:rsidR="00E73233" w:rsidRDefault="00E73233" w:rsidP="00E73233">
      <w:pPr>
        <w:spacing w:line="360" w:lineRule="auto"/>
        <w:jc w:val="both"/>
        <w:rPr>
          <w:rFonts w:ascii="Calibri" w:hAnsi="Calibri" w:cs="Arial"/>
          <w:sz w:val="20"/>
          <w:szCs w:val="20"/>
          <w:lang w:val="en-GB"/>
        </w:rPr>
      </w:pPr>
      <w:r w:rsidRPr="00B64CF5">
        <w:rPr>
          <w:rFonts w:ascii="Calibri" w:hAnsi="Calibri" w:cs="Arial"/>
          <w:sz w:val="20"/>
          <w:szCs w:val="20"/>
          <w:lang w:val="en-GB"/>
        </w:rPr>
        <w:t>The CDW currently stages, transforms and loads approximately 1.5 GB of laboratory data per day made up of approximately 12 million transactions. An additional 50 GB of other data e.g. dictionaries, external data, financial data, log files are loaded monthly.</w:t>
      </w:r>
      <w:r>
        <w:rPr>
          <w:rFonts w:ascii="Calibri" w:hAnsi="Calibri" w:cs="Arial"/>
          <w:sz w:val="20"/>
          <w:szCs w:val="20"/>
          <w:lang w:val="en-GB"/>
        </w:rPr>
        <w:t xml:space="preserve"> </w:t>
      </w:r>
      <w:r w:rsidRPr="00B64CF5">
        <w:rPr>
          <w:rFonts w:ascii="Calibri" w:hAnsi="Calibri" w:cs="Arial"/>
          <w:sz w:val="20"/>
          <w:szCs w:val="20"/>
          <w:lang w:val="en-GB"/>
        </w:rPr>
        <w:t>Security is maintained at a number of different levels within the database e.g. field level encryption, role based security levels and security filters applied through the front-end tools.</w:t>
      </w:r>
    </w:p>
    <w:p w:rsidR="00E73233" w:rsidRDefault="00E73233" w:rsidP="00E73233">
      <w:pPr>
        <w:numPr>
          <w:ilvl w:val="2"/>
          <w:numId w:val="43"/>
        </w:numPr>
        <w:tabs>
          <w:tab w:val="left" w:pos="720"/>
        </w:tabs>
        <w:suppressAutoHyphens/>
        <w:spacing w:line="360" w:lineRule="auto"/>
        <w:ind w:right="-142"/>
        <w:jc w:val="both"/>
        <w:rPr>
          <w:rFonts w:ascii="Calibri" w:hAnsi="Calibri" w:cs="Arial"/>
          <w:b/>
          <w:sz w:val="20"/>
          <w:szCs w:val="20"/>
          <w:lang w:val="en-GB"/>
        </w:rPr>
      </w:pPr>
      <w:r w:rsidRPr="005820F3">
        <w:rPr>
          <w:rFonts w:ascii="Calibri" w:hAnsi="Calibri" w:cs="Arial"/>
          <w:b/>
          <w:sz w:val="20"/>
          <w:szCs w:val="20"/>
          <w:lang w:val="en-GB"/>
        </w:rPr>
        <w:t>Current Technical Server Specifications</w:t>
      </w:r>
    </w:p>
    <w:tbl>
      <w:tblPr>
        <w:tblW w:w="9356" w:type="dxa"/>
        <w:tblInd w:w="817" w:type="dxa"/>
        <w:tblLook w:val="04A0" w:firstRow="1" w:lastRow="0" w:firstColumn="1" w:lastColumn="0" w:noHBand="0" w:noVBand="1"/>
      </w:tblPr>
      <w:tblGrid>
        <w:gridCol w:w="3363"/>
        <w:gridCol w:w="2449"/>
        <w:gridCol w:w="3544"/>
      </w:tblGrid>
      <w:tr w:rsidR="00E73233" w:rsidRPr="00B817DA" w:rsidTr="00AF655E">
        <w:trPr>
          <w:trHeight w:val="300"/>
        </w:trPr>
        <w:tc>
          <w:tcPr>
            <w:tcW w:w="3363" w:type="dxa"/>
            <w:tcBorders>
              <w:top w:val="single" w:sz="4" w:space="0" w:color="auto"/>
              <w:left w:val="single" w:sz="4" w:space="0" w:color="auto"/>
              <w:bottom w:val="single" w:sz="4" w:space="0" w:color="auto"/>
              <w:right w:val="single" w:sz="4" w:space="0" w:color="auto"/>
            </w:tcBorders>
            <w:shd w:val="clear" w:color="000000" w:fill="595959"/>
            <w:noWrap/>
            <w:vAlign w:val="bottom"/>
          </w:tcPr>
          <w:p w:rsidR="00E73233" w:rsidRPr="00B817DA" w:rsidRDefault="00E73233" w:rsidP="00AF655E">
            <w:pPr>
              <w:rPr>
                <w:rFonts w:ascii="Calibri" w:hAnsi="Calibri"/>
                <w:b/>
                <w:bCs/>
                <w:color w:val="FFFFFF"/>
                <w:sz w:val="20"/>
                <w:szCs w:val="20"/>
                <w:lang w:eastAsia="en-ZA"/>
              </w:rPr>
            </w:pPr>
          </w:p>
        </w:tc>
        <w:tc>
          <w:tcPr>
            <w:tcW w:w="2449" w:type="dxa"/>
            <w:tcBorders>
              <w:top w:val="single" w:sz="4" w:space="0" w:color="auto"/>
              <w:left w:val="nil"/>
              <w:bottom w:val="single" w:sz="4" w:space="0" w:color="auto"/>
              <w:right w:val="single" w:sz="4" w:space="0" w:color="auto"/>
            </w:tcBorders>
            <w:shd w:val="clear" w:color="000000" w:fill="9BBB59"/>
            <w:noWrap/>
            <w:vAlign w:val="bottom"/>
          </w:tcPr>
          <w:p w:rsidR="00E73233" w:rsidRPr="00C16645" w:rsidRDefault="00E73233" w:rsidP="00AF655E">
            <w:pPr>
              <w:rPr>
                <w:rFonts w:ascii="Calibri" w:hAnsi="Calibri"/>
                <w:b/>
                <w:bCs/>
                <w:color w:val="FF0000"/>
                <w:sz w:val="22"/>
                <w:szCs w:val="20"/>
                <w:lang w:eastAsia="en-ZA"/>
              </w:rPr>
            </w:pPr>
            <w:r w:rsidRPr="00C16645">
              <w:rPr>
                <w:rFonts w:ascii="Calibri" w:hAnsi="Calibri"/>
                <w:b/>
                <w:bCs/>
                <w:color w:val="FF0000"/>
                <w:sz w:val="22"/>
                <w:szCs w:val="20"/>
                <w:lang w:eastAsia="en-ZA"/>
              </w:rPr>
              <w:t>Disaster Recovery Site</w:t>
            </w:r>
          </w:p>
        </w:tc>
        <w:tc>
          <w:tcPr>
            <w:tcW w:w="3544" w:type="dxa"/>
            <w:tcBorders>
              <w:top w:val="single" w:sz="4" w:space="0" w:color="auto"/>
              <w:left w:val="nil"/>
              <w:bottom w:val="single" w:sz="4" w:space="0" w:color="auto"/>
              <w:right w:val="single" w:sz="4" w:space="0" w:color="auto"/>
            </w:tcBorders>
            <w:shd w:val="clear" w:color="000000" w:fill="9BBB59"/>
            <w:noWrap/>
            <w:vAlign w:val="bottom"/>
          </w:tcPr>
          <w:p w:rsidR="00E73233" w:rsidRPr="00C16645" w:rsidRDefault="00E73233" w:rsidP="00AF655E">
            <w:pPr>
              <w:rPr>
                <w:rFonts w:ascii="Calibri" w:hAnsi="Calibri"/>
                <w:b/>
                <w:bCs/>
                <w:color w:val="FF0000"/>
                <w:sz w:val="22"/>
                <w:szCs w:val="20"/>
                <w:lang w:eastAsia="en-ZA"/>
              </w:rPr>
            </w:pPr>
            <w:r w:rsidRPr="00C16645">
              <w:rPr>
                <w:rFonts w:ascii="Calibri" w:hAnsi="Calibri"/>
                <w:b/>
                <w:bCs/>
                <w:color w:val="FF0000"/>
                <w:sz w:val="22"/>
                <w:szCs w:val="20"/>
                <w:lang w:eastAsia="en-ZA"/>
              </w:rPr>
              <w:t>Production Site</w:t>
            </w:r>
          </w:p>
        </w:tc>
      </w:tr>
      <w:tr w:rsidR="00E73233" w:rsidRPr="00B817DA" w:rsidTr="00AF655E">
        <w:trPr>
          <w:trHeight w:val="300"/>
        </w:trPr>
        <w:tc>
          <w:tcPr>
            <w:tcW w:w="3363" w:type="dxa"/>
            <w:tcBorders>
              <w:top w:val="single" w:sz="4" w:space="0" w:color="auto"/>
              <w:left w:val="single" w:sz="4" w:space="0" w:color="auto"/>
              <w:bottom w:val="single" w:sz="4" w:space="0" w:color="auto"/>
              <w:right w:val="single" w:sz="4" w:space="0" w:color="auto"/>
            </w:tcBorders>
            <w:shd w:val="clear" w:color="000000" w:fill="595959"/>
            <w:noWrap/>
            <w:vAlign w:val="bottom"/>
            <w:hideMark/>
          </w:tcPr>
          <w:p w:rsidR="00E73233" w:rsidRPr="00B817DA" w:rsidRDefault="00E73233" w:rsidP="00AF655E">
            <w:pPr>
              <w:rPr>
                <w:rFonts w:ascii="Calibri" w:hAnsi="Calibri"/>
                <w:b/>
                <w:bCs/>
                <w:color w:val="FFFFFF"/>
                <w:sz w:val="20"/>
                <w:szCs w:val="20"/>
                <w:lang w:eastAsia="en-ZA"/>
              </w:rPr>
            </w:pPr>
            <w:proofErr w:type="spellStart"/>
            <w:r>
              <w:rPr>
                <w:rFonts w:ascii="Calibri" w:hAnsi="Calibri"/>
                <w:b/>
                <w:bCs/>
                <w:color w:val="FFFFFF"/>
                <w:sz w:val="20"/>
                <w:szCs w:val="20"/>
                <w:lang w:eastAsia="en-ZA"/>
              </w:rPr>
              <w:t>Netezza</w:t>
            </w:r>
            <w:proofErr w:type="spellEnd"/>
            <w:r>
              <w:rPr>
                <w:rFonts w:ascii="Calibri" w:hAnsi="Calibri"/>
                <w:b/>
                <w:bCs/>
                <w:color w:val="FFFFFF"/>
                <w:sz w:val="20"/>
                <w:szCs w:val="20"/>
                <w:lang w:eastAsia="en-ZA"/>
              </w:rPr>
              <w:t xml:space="preserve"> </w:t>
            </w:r>
            <w:r w:rsidRPr="005E6A90">
              <w:rPr>
                <w:rFonts w:ascii="Calibri" w:hAnsi="Calibri"/>
                <w:b/>
                <w:bCs/>
                <w:color w:val="FFFFFF"/>
                <w:sz w:val="20"/>
                <w:szCs w:val="20"/>
                <w:lang w:eastAsia="en-ZA"/>
              </w:rPr>
              <w:t xml:space="preserve">IBM </w:t>
            </w:r>
            <w:proofErr w:type="spellStart"/>
            <w:r w:rsidRPr="005E6A90">
              <w:rPr>
                <w:rFonts w:ascii="Calibri" w:hAnsi="Calibri"/>
                <w:b/>
                <w:bCs/>
                <w:color w:val="FFFFFF"/>
                <w:sz w:val="20"/>
                <w:szCs w:val="20"/>
                <w:lang w:eastAsia="en-ZA"/>
              </w:rPr>
              <w:t>PureData</w:t>
            </w:r>
            <w:proofErr w:type="spellEnd"/>
            <w:r w:rsidRPr="005E6A90">
              <w:rPr>
                <w:rFonts w:ascii="Calibri" w:hAnsi="Calibri"/>
                <w:b/>
                <w:bCs/>
                <w:color w:val="FFFFFF"/>
                <w:sz w:val="20"/>
                <w:szCs w:val="20"/>
                <w:lang w:eastAsia="en-ZA"/>
              </w:rPr>
              <w:t xml:space="preserve"> System for Analytics N3001-002</w:t>
            </w:r>
          </w:p>
        </w:tc>
        <w:tc>
          <w:tcPr>
            <w:tcW w:w="2449" w:type="dxa"/>
            <w:tcBorders>
              <w:top w:val="single" w:sz="4" w:space="0" w:color="auto"/>
              <w:left w:val="nil"/>
              <w:bottom w:val="single" w:sz="4" w:space="0" w:color="auto"/>
              <w:right w:val="single" w:sz="4" w:space="0" w:color="auto"/>
            </w:tcBorders>
            <w:shd w:val="clear" w:color="000000" w:fill="9BBB59"/>
            <w:noWrap/>
            <w:vAlign w:val="bottom"/>
            <w:hideMark/>
          </w:tcPr>
          <w:p w:rsidR="00E73233" w:rsidRPr="00C16645" w:rsidRDefault="00E73233" w:rsidP="00AF655E">
            <w:pPr>
              <w:rPr>
                <w:rFonts w:ascii="Calibri" w:hAnsi="Calibri"/>
                <w:b/>
                <w:bCs/>
                <w:color w:val="FF0000"/>
                <w:sz w:val="22"/>
                <w:szCs w:val="20"/>
                <w:lang w:eastAsia="en-ZA"/>
              </w:rPr>
            </w:pPr>
            <w:r>
              <w:rPr>
                <w:rFonts w:ascii="Calibri" w:hAnsi="Calibri"/>
                <w:b/>
                <w:bCs/>
                <w:color w:val="FF0000"/>
                <w:sz w:val="22"/>
                <w:szCs w:val="20"/>
                <w:lang w:eastAsia="en-ZA"/>
              </w:rPr>
              <w:t>DR</w:t>
            </w:r>
          </w:p>
        </w:tc>
        <w:tc>
          <w:tcPr>
            <w:tcW w:w="3544" w:type="dxa"/>
            <w:tcBorders>
              <w:top w:val="single" w:sz="4" w:space="0" w:color="auto"/>
              <w:left w:val="nil"/>
              <w:bottom w:val="single" w:sz="4" w:space="0" w:color="auto"/>
              <w:right w:val="single" w:sz="4" w:space="0" w:color="auto"/>
            </w:tcBorders>
            <w:shd w:val="clear" w:color="000000" w:fill="9BBB59"/>
            <w:noWrap/>
            <w:vAlign w:val="bottom"/>
            <w:hideMark/>
          </w:tcPr>
          <w:p w:rsidR="00E73233" w:rsidRPr="00C16645" w:rsidRDefault="00E73233" w:rsidP="00AF655E">
            <w:pPr>
              <w:rPr>
                <w:rFonts w:ascii="Calibri" w:hAnsi="Calibri"/>
                <w:b/>
                <w:bCs/>
                <w:color w:val="FF0000"/>
                <w:sz w:val="22"/>
                <w:szCs w:val="20"/>
                <w:lang w:eastAsia="en-ZA"/>
              </w:rPr>
            </w:pPr>
            <w:r>
              <w:rPr>
                <w:rFonts w:ascii="Calibri" w:hAnsi="Calibri"/>
                <w:b/>
                <w:bCs/>
                <w:color w:val="FF0000"/>
                <w:sz w:val="22"/>
                <w:szCs w:val="20"/>
                <w:lang w:eastAsia="en-ZA"/>
              </w:rPr>
              <w:t>PROD</w:t>
            </w:r>
          </w:p>
        </w:tc>
      </w:tr>
      <w:tr w:rsidR="00E73233" w:rsidRPr="00B817DA" w:rsidTr="00AF655E">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E73233" w:rsidRPr="00B817DA" w:rsidRDefault="00E73233" w:rsidP="00AF655E">
            <w:pPr>
              <w:rPr>
                <w:rFonts w:ascii="Calibri" w:hAnsi="Calibri"/>
                <w:b/>
                <w:bCs/>
                <w:color w:val="000000"/>
                <w:sz w:val="20"/>
                <w:szCs w:val="20"/>
                <w:lang w:eastAsia="en-ZA"/>
              </w:rPr>
            </w:pPr>
            <w:r w:rsidRPr="00B817DA">
              <w:rPr>
                <w:rFonts w:ascii="Calibri" w:hAnsi="Calibri"/>
                <w:b/>
                <w:bCs/>
                <w:color w:val="000000"/>
                <w:sz w:val="20"/>
                <w:szCs w:val="20"/>
                <w:lang w:eastAsia="en-ZA"/>
              </w:rPr>
              <w:t>Racks</w:t>
            </w:r>
          </w:p>
        </w:tc>
        <w:tc>
          <w:tcPr>
            <w:tcW w:w="2449" w:type="dxa"/>
            <w:tcBorders>
              <w:top w:val="nil"/>
              <w:left w:val="nil"/>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rPr>
                <w:rFonts w:ascii="Calibri" w:hAnsi="Calibri"/>
                <w:color w:val="000000"/>
                <w:lang w:eastAsia="en-ZA"/>
              </w:rPr>
              <w:t>1</w:t>
            </w:r>
          </w:p>
        </w:tc>
        <w:tc>
          <w:tcPr>
            <w:tcW w:w="3544" w:type="dxa"/>
            <w:tcBorders>
              <w:top w:val="nil"/>
              <w:left w:val="nil"/>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rPr>
                <w:rFonts w:ascii="Calibri" w:hAnsi="Calibri"/>
                <w:color w:val="000000"/>
                <w:lang w:eastAsia="en-ZA"/>
              </w:rPr>
              <w:t>1</w:t>
            </w:r>
          </w:p>
        </w:tc>
      </w:tr>
      <w:tr w:rsidR="00E73233" w:rsidRPr="00B817DA" w:rsidTr="00AF655E">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E73233" w:rsidRPr="00B817DA" w:rsidRDefault="00E73233" w:rsidP="00AF655E">
            <w:pPr>
              <w:rPr>
                <w:rFonts w:ascii="Calibri" w:hAnsi="Calibri"/>
                <w:b/>
                <w:bCs/>
                <w:color w:val="000000"/>
                <w:sz w:val="20"/>
                <w:szCs w:val="20"/>
                <w:lang w:eastAsia="en-ZA"/>
              </w:rPr>
            </w:pPr>
            <w:r w:rsidRPr="00B817DA">
              <w:rPr>
                <w:rFonts w:ascii="Calibri" w:hAnsi="Calibri"/>
                <w:b/>
                <w:bCs/>
                <w:color w:val="000000"/>
                <w:sz w:val="20"/>
                <w:szCs w:val="20"/>
                <w:lang w:eastAsia="en-ZA"/>
              </w:rPr>
              <w:t>S-Blades</w:t>
            </w:r>
          </w:p>
        </w:tc>
        <w:tc>
          <w:tcPr>
            <w:tcW w:w="2449" w:type="dxa"/>
            <w:tcBorders>
              <w:top w:val="nil"/>
              <w:left w:val="nil"/>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t>2</w:t>
            </w:r>
          </w:p>
        </w:tc>
        <w:tc>
          <w:tcPr>
            <w:tcW w:w="3544" w:type="dxa"/>
            <w:tcBorders>
              <w:top w:val="nil"/>
              <w:left w:val="nil"/>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t>2</w:t>
            </w:r>
          </w:p>
        </w:tc>
      </w:tr>
      <w:tr w:rsidR="00E73233" w:rsidRPr="00B817DA" w:rsidTr="00AF655E">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E73233" w:rsidRPr="00B817DA" w:rsidRDefault="00E73233" w:rsidP="00AF655E">
            <w:pPr>
              <w:rPr>
                <w:rFonts w:ascii="Calibri" w:hAnsi="Calibri"/>
                <w:b/>
                <w:bCs/>
                <w:color w:val="000000"/>
                <w:sz w:val="20"/>
                <w:szCs w:val="20"/>
                <w:lang w:eastAsia="en-ZA"/>
              </w:rPr>
            </w:pPr>
            <w:r w:rsidRPr="00B817DA">
              <w:rPr>
                <w:rFonts w:ascii="Calibri" w:hAnsi="Calibri"/>
                <w:b/>
                <w:bCs/>
                <w:color w:val="000000"/>
                <w:sz w:val="20"/>
                <w:szCs w:val="20"/>
                <w:lang w:eastAsia="en-ZA"/>
              </w:rPr>
              <w:t>CPU Cores</w:t>
            </w:r>
          </w:p>
        </w:tc>
        <w:tc>
          <w:tcPr>
            <w:tcW w:w="2449" w:type="dxa"/>
            <w:tcBorders>
              <w:top w:val="nil"/>
              <w:left w:val="nil"/>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t>Six-core Intel Xeon 2.6 GHz, 15 MB L3, 1600MHz, 95W (x2)</w:t>
            </w:r>
          </w:p>
        </w:tc>
        <w:tc>
          <w:tcPr>
            <w:tcW w:w="3544" w:type="dxa"/>
            <w:tcBorders>
              <w:top w:val="nil"/>
              <w:left w:val="nil"/>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t>Six-core Intel Xeon 2.6 GHz, 15 MB L3, 1600MHz, 95W  (x2)</w:t>
            </w:r>
          </w:p>
        </w:tc>
      </w:tr>
      <w:tr w:rsidR="00E73233" w:rsidRPr="00B817DA" w:rsidTr="00AF655E">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E73233" w:rsidRPr="00B817DA" w:rsidRDefault="00E73233" w:rsidP="00AF655E">
            <w:pPr>
              <w:rPr>
                <w:rFonts w:ascii="Calibri" w:hAnsi="Calibri"/>
                <w:b/>
                <w:bCs/>
                <w:color w:val="000000"/>
                <w:sz w:val="20"/>
                <w:szCs w:val="20"/>
                <w:lang w:eastAsia="en-ZA"/>
              </w:rPr>
            </w:pPr>
            <w:r w:rsidRPr="00B817DA">
              <w:rPr>
                <w:rFonts w:ascii="Calibri" w:hAnsi="Calibri"/>
                <w:b/>
                <w:bCs/>
                <w:color w:val="000000"/>
                <w:sz w:val="20"/>
                <w:szCs w:val="20"/>
                <w:lang w:eastAsia="en-ZA"/>
              </w:rPr>
              <w:t>User Data in TB (Uncompressed)</w:t>
            </w:r>
          </w:p>
        </w:tc>
        <w:tc>
          <w:tcPr>
            <w:tcW w:w="2449" w:type="dxa"/>
            <w:tcBorders>
              <w:top w:val="nil"/>
              <w:left w:val="nil"/>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t>12</w:t>
            </w:r>
          </w:p>
        </w:tc>
        <w:tc>
          <w:tcPr>
            <w:tcW w:w="3544" w:type="dxa"/>
            <w:tcBorders>
              <w:top w:val="nil"/>
              <w:left w:val="nil"/>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t>12</w:t>
            </w:r>
          </w:p>
        </w:tc>
      </w:tr>
      <w:tr w:rsidR="00E73233" w:rsidRPr="00B817DA" w:rsidTr="00AF655E">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E73233" w:rsidRPr="00B817DA" w:rsidRDefault="00E73233" w:rsidP="00AF655E">
            <w:pPr>
              <w:rPr>
                <w:rFonts w:ascii="Calibri" w:hAnsi="Calibri"/>
                <w:b/>
                <w:bCs/>
                <w:color w:val="000000"/>
                <w:sz w:val="20"/>
                <w:szCs w:val="20"/>
                <w:lang w:eastAsia="en-ZA"/>
              </w:rPr>
            </w:pPr>
            <w:r w:rsidRPr="00B817DA">
              <w:rPr>
                <w:rFonts w:ascii="Calibri" w:hAnsi="Calibri"/>
                <w:b/>
                <w:bCs/>
                <w:color w:val="000000"/>
                <w:sz w:val="20"/>
                <w:szCs w:val="20"/>
                <w:lang w:eastAsia="en-ZA"/>
              </w:rPr>
              <w:t>Power/Rack (Watts maximum/rack)</w:t>
            </w:r>
          </w:p>
        </w:tc>
        <w:tc>
          <w:tcPr>
            <w:tcW w:w="2449" w:type="dxa"/>
            <w:tcBorders>
              <w:top w:val="nil"/>
              <w:left w:val="nil"/>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t>3,200</w:t>
            </w:r>
          </w:p>
        </w:tc>
        <w:tc>
          <w:tcPr>
            <w:tcW w:w="3544" w:type="dxa"/>
            <w:tcBorders>
              <w:top w:val="nil"/>
              <w:left w:val="nil"/>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t>3,200</w:t>
            </w:r>
          </w:p>
        </w:tc>
      </w:tr>
      <w:tr w:rsidR="00E73233" w:rsidRPr="00B817DA" w:rsidTr="00AF655E">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E73233" w:rsidRPr="00B817DA" w:rsidRDefault="00E73233" w:rsidP="00AF655E">
            <w:pPr>
              <w:rPr>
                <w:rFonts w:ascii="Calibri" w:hAnsi="Calibri"/>
                <w:b/>
                <w:bCs/>
                <w:color w:val="000000"/>
                <w:sz w:val="20"/>
                <w:szCs w:val="20"/>
                <w:lang w:eastAsia="en-ZA"/>
              </w:rPr>
            </w:pPr>
            <w:r w:rsidRPr="00B817DA">
              <w:rPr>
                <w:rFonts w:ascii="Calibri" w:hAnsi="Calibri"/>
                <w:b/>
                <w:bCs/>
                <w:color w:val="000000"/>
                <w:sz w:val="20"/>
                <w:szCs w:val="20"/>
                <w:lang w:eastAsia="en-ZA"/>
              </w:rPr>
              <w:t>Cooling/Rack - BTU/Hour</w:t>
            </w:r>
          </w:p>
        </w:tc>
        <w:tc>
          <w:tcPr>
            <w:tcW w:w="2449" w:type="dxa"/>
            <w:tcBorders>
              <w:top w:val="nil"/>
              <w:left w:val="nil"/>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t>10,850</w:t>
            </w:r>
          </w:p>
        </w:tc>
        <w:tc>
          <w:tcPr>
            <w:tcW w:w="3544" w:type="dxa"/>
            <w:tcBorders>
              <w:top w:val="nil"/>
              <w:left w:val="nil"/>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t>10,850</w:t>
            </w:r>
          </w:p>
        </w:tc>
      </w:tr>
      <w:tr w:rsidR="00E73233" w:rsidRPr="00B817DA" w:rsidTr="00AF655E">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E73233" w:rsidRPr="00B817DA" w:rsidRDefault="00E73233" w:rsidP="00AF655E">
            <w:pPr>
              <w:rPr>
                <w:rFonts w:ascii="Calibri" w:hAnsi="Calibri"/>
                <w:b/>
                <w:bCs/>
                <w:color w:val="000000"/>
                <w:sz w:val="20"/>
                <w:szCs w:val="20"/>
                <w:lang w:eastAsia="en-ZA"/>
              </w:rPr>
            </w:pPr>
            <w:r w:rsidRPr="00B817DA">
              <w:rPr>
                <w:rFonts w:ascii="Calibri" w:hAnsi="Calibri"/>
                <w:b/>
                <w:bCs/>
                <w:color w:val="000000"/>
                <w:sz w:val="20"/>
                <w:szCs w:val="20"/>
                <w:lang w:eastAsia="en-ZA"/>
              </w:rPr>
              <w:t>Weight/rack kg</w:t>
            </w:r>
          </w:p>
        </w:tc>
        <w:tc>
          <w:tcPr>
            <w:tcW w:w="2449" w:type="dxa"/>
            <w:tcBorders>
              <w:top w:val="nil"/>
              <w:left w:val="nil"/>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t>636.4</w:t>
            </w:r>
          </w:p>
        </w:tc>
        <w:tc>
          <w:tcPr>
            <w:tcW w:w="3544" w:type="dxa"/>
            <w:tcBorders>
              <w:top w:val="nil"/>
              <w:left w:val="nil"/>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t>636.4</w:t>
            </w:r>
          </w:p>
        </w:tc>
      </w:tr>
      <w:tr w:rsidR="00E73233" w:rsidRPr="00B817DA" w:rsidTr="00AF655E">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E73233" w:rsidRPr="00B817DA" w:rsidRDefault="00E73233" w:rsidP="00AF655E">
            <w:pPr>
              <w:rPr>
                <w:rFonts w:ascii="Calibri" w:hAnsi="Calibri"/>
                <w:b/>
                <w:bCs/>
                <w:color w:val="000000"/>
                <w:sz w:val="20"/>
                <w:szCs w:val="20"/>
                <w:lang w:eastAsia="en-ZA"/>
              </w:rPr>
            </w:pPr>
            <w:r w:rsidRPr="00B817DA">
              <w:rPr>
                <w:rFonts w:ascii="Calibri" w:hAnsi="Calibri"/>
                <w:b/>
                <w:bCs/>
                <w:color w:val="000000"/>
                <w:sz w:val="20"/>
                <w:szCs w:val="20"/>
                <w:lang w:eastAsia="en-ZA"/>
              </w:rPr>
              <w:t>Height/rack cm</w:t>
            </w:r>
          </w:p>
        </w:tc>
        <w:tc>
          <w:tcPr>
            <w:tcW w:w="2449" w:type="dxa"/>
            <w:tcBorders>
              <w:top w:val="nil"/>
              <w:left w:val="nil"/>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t>202</w:t>
            </w:r>
          </w:p>
        </w:tc>
        <w:tc>
          <w:tcPr>
            <w:tcW w:w="3544" w:type="dxa"/>
            <w:tcBorders>
              <w:top w:val="nil"/>
              <w:left w:val="nil"/>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t>202</w:t>
            </w:r>
          </w:p>
        </w:tc>
      </w:tr>
      <w:tr w:rsidR="00E73233" w:rsidRPr="00B817DA" w:rsidTr="00AF655E">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E73233" w:rsidRPr="00B817DA" w:rsidRDefault="00E73233" w:rsidP="00AF655E">
            <w:pPr>
              <w:rPr>
                <w:rFonts w:ascii="Calibri" w:hAnsi="Calibri"/>
                <w:b/>
                <w:bCs/>
                <w:color w:val="000000"/>
                <w:sz w:val="20"/>
                <w:szCs w:val="20"/>
                <w:lang w:eastAsia="en-ZA"/>
              </w:rPr>
            </w:pPr>
            <w:r w:rsidRPr="00B817DA">
              <w:rPr>
                <w:rFonts w:ascii="Calibri" w:hAnsi="Calibri"/>
                <w:b/>
                <w:bCs/>
                <w:color w:val="000000"/>
                <w:sz w:val="20"/>
                <w:szCs w:val="20"/>
                <w:lang w:eastAsia="en-ZA"/>
              </w:rPr>
              <w:t>Depth/rack cm</w:t>
            </w:r>
          </w:p>
        </w:tc>
        <w:tc>
          <w:tcPr>
            <w:tcW w:w="2449" w:type="dxa"/>
            <w:tcBorders>
              <w:top w:val="nil"/>
              <w:left w:val="nil"/>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t>109.2</w:t>
            </w:r>
          </w:p>
        </w:tc>
        <w:tc>
          <w:tcPr>
            <w:tcW w:w="3544" w:type="dxa"/>
            <w:tcBorders>
              <w:top w:val="nil"/>
              <w:left w:val="nil"/>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t>109.2</w:t>
            </w:r>
          </w:p>
        </w:tc>
      </w:tr>
      <w:tr w:rsidR="00E73233" w:rsidRPr="00B817DA" w:rsidTr="00AF655E">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E73233" w:rsidRPr="00B817DA" w:rsidRDefault="00E73233" w:rsidP="00AF655E">
            <w:pPr>
              <w:rPr>
                <w:rFonts w:ascii="Calibri" w:hAnsi="Calibri"/>
                <w:b/>
                <w:bCs/>
                <w:color w:val="000000"/>
                <w:sz w:val="20"/>
                <w:szCs w:val="20"/>
                <w:lang w:eastAsia="en-ZA"/>
              </w:rPr>
            </w:pPr>
            <w:r w:rsidRPr="00B817DA">
              <w:rPr>
                <w:rFonts w:ascii="Calibri" w:hAnsi="Calibri"/>
                <w:b/>
                <w:bCs/>
                <w:color w:val="000000"/>
                <w:sz w:val="20"/>
                <w:szCs w:val="20"/>
                <w:lang w:eastAsia="en-ZA"/>
              </w:rPr>
              <w:t>Width/rack cm</w:t>
            </w:r>
          </w:p>
        </w:tc>
        <w:tc>
          <w:tcPr>
            <w:tcW w:w="2449" w:type="dxa"/>
            <w:tcBorders>
              <w:top w:val="nil"/>
              <w:left w:val="nil"/>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t>64.8</w:t>
            </w:r>
          </w:p>
        </w:tc>
        <w:tc>
          <w:tcPr>
            <w:tcW w:w="3544" w:type="dxa"/>
            <w:tcBorders>
              <w:top w:val="nil"/>
              <w:left w:val="nil"/>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t>64.8</w:t>
            </w:r>
          </w:p>
        </w:tc>
      </w:tr>
      <w:tr w:rsidR="00E73233" w:rsidRPr="00B817DA" w:rsidTr="00AF655E">
        <w:trPr>
          <w:trHeight w:val="600"/>
        </w:trPr>
        <w:tc>
          <w:tcPr>
            <w:tcW w:w="3363" w:type="dxa"/>
            <w:tcBorders>
              <w:top w:val="nil"/>
              <w:left w:val="single" w:sz="4" w:space="0" w:color="auto"/>
              <w:bottom w:val="single" w:sz="4" w:space="0" w:color="auto"/>
              <w:right w:val="single" w:sz="4" w:space="0" w:color="auto"/>
            </w:tcBorders>
            <w:shd w:val="clear" w:color="000000" w:fill="DAEEF3"/>
            <w:noWrap/>
            <w:hideMark/>
          </w:tcPr>
          <w:p w:rsidR="00E73233" w:rsidRPr="00B817DA" w:rsidRDefault="00E73233" w:rsidP="00AF655E">
            <w:pPr>
              <w:rPr>
                <w:rFonts w:ascii="Calibri" w:hAnsi="Calibri"/>
                <w:b/>
                <w:bCs/>
                <w:color w:val="000000"/>
                <w:sz w:val="20"/>
                <w:szCs w:val="20"/>
                <w:lang w:eastAsia="en-ZA"/>
              </w:rPr>
            </w:pPr>
            <w:r w:rsidRPr="00B817DA">
              <w:rPr>
                <w:rFonts w:ascii="Calibri" w:hAnsi="Calibri"/>
                <w:b/>
                <w:bCs/>
                <w:color w:val="000000"/>
                <w:sz w:val="20"/>
                <w:szCs w:val="20"/>
                <w:lang w:eastAsia="en-ZA"/>
              </w:rPr>
              <w:t>Power</w:t>
            </w:r>
          </w:p>
        </w:tc>
        <w:tc>
          <w:tcPr>
            <w:tcW w:w="2449" w:type="dxa"/>
            <w:tcBorders>
              <w:top w:val="nil"/>
              <w:left w:val="nil"/>
              <w:bottom w:val="single" w:sz="4" w:space="0" w:color="auto"/>
              <w:right w:val="single" w:sz="4" w:space="0" w:color="auto"/>
            </w:tcBorders>
            <w:shd w:val="clear" w:color="auto" w:fill="auto"/>
            <w:hideMark/>
          </w:tcPr>
          <w:p w:rsidR="00E73233" w:rsidRPr="00B817DA" w:rsidRDefault="00E73233" w:rsidP="00AF655E">
            <w:pPr>
              <w:rPr>
                <w:rFonts w:ascii="Calibri" w:hAnsi="Calibri"/>
                <w:color w:val="000000"/>
                <w:sz w:val="20"/>
                <w:szCs w:val="20"/>
                <w:lang w:eastAsia="en-ZA"/>
              </w:rPr>
            </w:pPr>
            <w:r>
              <w:t>200 - 240 VAC, 50 Hz/60 Hz (Single Phase)</w:t>
            </w:r>
          </w:p>
        </w:tc>
        <w:tc>
          <w:tcPr>
            <w:tcW w:w="3544" w:type="dxa"/>
            <w:tcBorders>
              <w:top w:val="nil"/>
              <w:left w:val="nil"/>
              <w:bottom w:val="single" w:sz="4" w:space="0" w:color="auto"/>
              <w:right w:val="single" w:sz="4" w:space="0" w:color="auto"/>
            </w:tcBorders>
            <w:shd w:val="clear" w:color="auto" w:fill="auto"/>
            <w:hideMark/>
          </w:tcPr>
          <w:p w:rsidR="00E73233" w:rsidRPr="00B817DA" w:rsidRDefault="00E73233" w:rsidP="00AF655E">
            <w:pPr>
              <w:rPr>
                <w:rFonts w:ascii="Calibri" w:hAnsi="Calibri"/>
                <w:color w:val="000000"/>
                <w:sz w:val="20"/>
                <w:szCs w:val="20"/>
                <w:lang w:eastAsia="en-ZA"/>
              </w:rPr>
            </w:pPr>
            <w:r>
              <w:t>200 - 240 VAC, 50 Hz/60 Hz (Single Phase)</w:t>
            </w:r>
          </w:p>
        </w:tc>
      </w:tr>
      <w:tr w:rsidR="00E73233" w:rsidRPr="00B817DA" w:rsidTr="00AF655E">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E73233" w:rsidRPr="00B817DA" w:rsidRDefault="00E73233" w:rsidP="00AF655E">
            <w:pPr>
              <w:rPr>
                <w:rFonts w:ascii="Calibri" w:hAnsi="Calibri"/>
                <w:b/>
                <w:bCs/>
                <w:color w:val="000000"/>
                <w:sz w:val="20"/>
                <w:szCs w:val="20"/>
                <w:lang w:eastAsia="en-ZA"/>
              </w:rPr>
            </w:pPr>
            <w:r w:rsidRPr="00B817DA">
              <w:rPr>
                <w:rFonts w:ascii="Calibri" w:hAnsi="Calibri"/>
                <w:b/>
                <w:bCs/>
                <w:color w:val="000000"/>
                <w:sz w:val="20"/>
                <w:szCs w:val="20"/>
                <w:lang w:eastAsia="en-ZA"/>
              </w:rPr>
              <w:t>Drops/Rack</w:t>
            </w:r>
          </w:p>
        </w:tc>
        <w:tc>
          <w:tcPr>
            <w:tcW w:w="2449" w:type="dxa"/>
            <w:tcBorders>
              <w:top w:val="nil"/>
              <w:left w:val="nil"/>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t>2</w:t>
            </w:r>
          </w:p>
        </w:tc>
        <w:tc>
          <w:tcPr>
            <w:tcW w:w="3544" w:type="dxa"/>
            <w:tcBorders>
              <w:top w:val="nil"/>
              <w:left w:val="nil"/>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t>2</w:t>
            </w:r>
          </w:p>
        </w:tc>
      </w:tr>
      <w:tr w:rsidR="00E73233" w:rsidRPr="00B817DA" w:rsidTr="00AF655E">
        <w:trPr>
          <w:trHeight w:val="300"/>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E73233" w:rsidRPr="00B817DA" w:rsidRDefault="00E73233" w:rsidP="00AF655E">
            <w:pPr>
              <w:rPr>
                <w:rFonts w:ascii="Calibri" w:hAnsi="Calibri"/>
                <w:b/>
                <w:bCs/>
                <w:color w:val="000000"/>
                <w:sz w:val="20"/>
                <w:szCs w:val="20"/>
                <w:lang w:eastAsia="en-ZA"/>
              </w:rPr>
            </w:pPr>
            <w:r w:rsidRPr="00B817DA">
              <w:rPr>
                <w:rFonts w:ascii="Calibri" w:hAnsi="Calibri"/>
                <w:b/>
                <w:bCs/>
                <w:color w:val="000000"/>
                <w:sz w:val="20"/>
                <w:szCs w:val="20"/>
                <w:lang w:eastAsia="en-ZA"/>
              </w:rPr>
              <w:t>Safety</w:t>
            </w:r>
          </w:p>
        </w:tc>
        <w:tc>
          <w:tcPr>
            <w:tcW w:w="5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E73233" w:rsidRPr="00E67EE6" w:rsidRDefault="00E73233" w:rsidP="00AF655E">
            <w:pPr>
              <w:rPr>
                <w:rFonts w:ascii="Calibri" w:hAnsi="Calibri"/>
                <w:color w:val="000000"/>
                <w:sz w:val="20"/>
                <w:szCs w:val="20"/>
                <w:highlight w:val="yellow"/>
                <w:lang w:eastAsia="en-ZA"/>
              </w:rPr>
            </w:pPr>
            <w:r w:rsidRPr="00D316BC">
              <w:rPr>
                <w:rFonts w:ascii="Calibri" w:hAnsi="Calibri"/>
                <w:color w:val="000000"/>
                <w:sz w:val="20"/>
                <w:szCs w:val="20"/>
                <w:lang w:eastAsia="en-ZA"/>
              </w:rPr>
              <w:t>UL/CSA/EN60950</w:t>
            </w:r>
          </w:p>
        </w:tc>
      </w:tr>
      <w:tr w:rsidR="00E73233" w:rsidRPr="00B817DA" w:rsidTr="00AF655E">
        <w:trPr>
          <w:trHeight w:val="529"/>
        </w:trPr>
        <w:tc>
          <w:tcPr>
            <w:tcW w:w="3363" w:type="dxa"/>
            <w:tcBorders>
              <w:top w:val="nil"/>
              <w:left w:val="single" w:sz="4" w:space="0" w:color="auto"/>
              <w:bottom w:val="single" w:sz="4" w:space="0" w:color="auto"/>
              <w:right w:val="single" w:sz="4" w:space="0" w:color="auto"/>
            </w:tcBorders>
            <w:shd w:val="clear" w:color="000000" w:fill="DAEEF3"/>
            <w:noWrap/>
            <w:vAlign w:val="bottom"/>
            <w:hideMark/>
          </w:tcPr>
          <w:p w:rsidR="00E73233" w:rsidRPr="00B817DA" w:rsidRDefault="00E73233" w:rsidP="00AF655E">
            <w:pPr>
              <w:rPr>
                <w:rFonts w:ascii="Calibri" w:hAnsi="Calibri"/>
                <w:b/>
                <w:bCs/>
                <w:color w:val="000000"/>
                <w:sz w:val="20"/>
                <w:szCs w:val="20"/>
                <w:lang w:eastAsia="en-ZA"/>
              </w:rPr>
            </w:pPr>
            <w:r w:rsidRPr="00B817DA">
              <w:rPr>
                <w:rFonts w:ascii="Calibri" w:hAnsi="Calibri"/>
                <w:b/>
                <w:bCs/>
                <w:color w:val="000000"/>
                <w:sz w:val="20"/>
                <w:szCs w:val="20"/>
                <w:lang w:eastAsia="en-ZA"/>
              </w:rPr>
              <w:t>Emissions</w:t>
            </w:r>
          </w:p>
        </w:tc>
        <w:tc>
          <w:tcPr>
            <w:tcW w:w="5993" w:type="dxa"/>
            <w:gridSpan w:val="2"/>
            <w:tcBorders>
              <w:top w:val="single" w:sz="4" w:space="0" w:color="auto"/>
              <w:left w:val="nil"/>
              <w:bottom w:val="single" w:sz="4" w:space="0" w:color="auto"/>
              <w:right w:val="single" w:sz="4" w:space="0" w:color="000000"/>
            </w:tcBorders>
            <w:shd w:val="clear" w:color="auto" w:fill="auto"/>
            <w:hideMark/>
          </w:tcPr>
          <w:p w:rsidR="00E73233" w:rsidRPr="00D316BC" w:rsidRDefault="00E73233" w:rsidP="00AF655E">
            <w:pPr>
              <w:rPr>
                <w:rFonts w:ascii="Calibri" w:hAnsi="Calibri"/>
                <w:color w:val="000000"/>
                <w:sz w:val="20"/>
                <w:szCs w:val="20"/>
                <w:lang w:eastAsia="en-ZA"/>
              </w:rPr>
            </w:pPr>
            <w:r w:rsidRPr="00D316BC">
              <w:rPr>
                <w:rFonts w:ascii="Calibri" w:hAnsi="Calibri"/>
                <w:color w:val="000000"/>
                <w:sz w:val="20"/>
                <w:szCs w:val="20"/>
                <w:lang w:eastAsia="en-ZA"/>
              </w:rPr>
              <w:t>FCC Part 15, ICES-003, AUS/NZ C-Tick, VCCI and EN55022 Class A; European Immunity: EN55024</w:t>
            </w:r>
          </w:p>
        </w:tc>
      </w:tr>
      <w:tr w:rsidR="00E73233" w:rsidRPr="00B817DA" w:rsidTr="00AF655E">
        <w:trPr>
          <w:trHeight w:val="300"/>
        </w:trPr>
        <w:tc>
          <w:tcPr>
            <w:tcW w:w="9356" w:type="dxa"/>
            <w:gridSpan w:val="3"/>
            <w:tcBorders>
              <w:top w:val="single" w:sz="4" w:space="0" w:color="auto"/>
              <w:left w:val="single" w:sz="4" w:space="0" w:color="auto"/>
              <w:bottom w:val="single" w:sz="4" w:space="0" w:color="auto"/>
              <w:right w:val="single" w:sz="4" w:space="0" w:color="auto"/>
            </w:tcBorders>
            <w:shd w:val="clear" w:color="000000" w:fill="595959"/>
            <w:noWrap/>
            <w:vAlign w:val="bottom"/>
            <w:hideMark/>
          </w:tcPr>
          <w:p w:rsidR="00E73233" w:rsidRPr="00B817DA" w:rsidRDefault="00E73233" w:rsidP="00AF655E">
            <w:pPr>
              <w:jc w:val="center"/>
              <w:rPr>
                <w:rFonts w:ascii="Calibri" w:hAnsi="Calibri"/>
                <w:b/>
                <w:bCs/>
                <w:color w:val="FFFFFF"/>
                <w:sz w:val="20"/>
                <w:szCs w:val="20"/>
                <w:lang w:eastAsia="en-ZA"/>
              </w:rPr>
            </w:pPr>
            <w:r w:rsidRPr="00B817DA">
              <w:rPr>
                <w:rFonts w:ascii="Calibri" w:hAnsi="Calibri"/>
                <w:b/>
                <w:bCs/>
                <w:color w:val="FFFFFF"/>
                <w:sz w:val="20"/>
                <w:szCs w:val="20"/>
                <w:lang w:eastAsia="en-ZA"/>
              </w:rPr>
              <w:t>Software</w:t>
            </w:r>
          </w:p>
        </w:tc>
      </w:tr>
      <w:tr w:rsidR="00E73233" w:rsidRPr="00B817DA" w:rsidTr="00AF655E">
        <w:trPr>
          <w:trHeight w:val="300"/>
        </w:trPr>
        <w:tc>
          <w:tcPr>
            <w:tcW w:w="9356" w:type="dxa"/>
            <w:gridSpan w:val="3"/>
            <w:tcBorders>
              <w:top w:val="nil"/>
              <w:left w:val="single" w:sz="4" w:space="0" w:color="auto"/>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rsidRPr="00B817DA">
              <w:rPr>
                <w:rFonts w:ascii="Calibri" w:hAnsi="Calibri"/>
                <w:b/>
                <w:bCs/>
                <w:color w:val="000000"/>
                <w:sz w:val="20"/>
                <w:szCs w:val="20"/>
                <w:lang w:eastAsia="en-ZA"/>
              </w:rPr>
              <w:t>Operating System</w:t>
            </w:r>
            <w:r w:rsidRPr="00B817DA">
              <w:rPr>
                <w:rFonts w:ascii="Calibri" w:hAnsi="Calibri"/>
                <w:color w:val="000000"/>
                <w:sz w:val="20"/>
                <w:szCs w:val="20"/>
                <w:lang w:eastAsia="en-ZA"/>
              </w:rPr>
              <w:t xml:space="preserve">: Red Hat Linux Advanced Server </w:t>
            </w:r>
            <w:r>
              <w:rPr>
                <w:rFonts w:ascii="Calibri" w:hAnsi="Calibri"/>
                <w:color w:val="000000"/>
                <w:sz w:val="20"/>
                <w:szCs w:val="20"/>
                <w:lang w:eastAsia="en-ZA"/>
              </w:rPr>
              <w:t>6.8</w:t>
            </w:r>
          </w:p>
        </w:tc>
      </w:tr>
      <w:tr w:rsidR="00E73233" w:rsidRPr="00B817DA" w:rsidTr="00AF655E">
        <w:trPr>
          <w:trHeight w:val="300"/>
        </w:trPr>
        <w:tc>
          <w:tcPr>
            <w:tcW w:w="9356" w:type="dxa"/>
            <w:gridSpan w:val="3"/>
            <w:tcBorders>
              <w:top w:val="nil"/>
              <w:left w:val="single" w:sz="4" w:space="0" w:color="auto"/>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rsidRPr="00B817DA">
              <w:rPr>
                <w:rFonts w:ascii="Calibri" w:hAnsi="Calibri"/>
                <w:b/>
                <w:bCs/>
                <w:color w:val="000000"/>
                <w:sz w:val="20"/>
                <w:szCs w:val="20"/>
                <w:lang w:eastAsia="en-ZA"/>
              </w:rPr>
              <w:t>Supported APIs:</w:t>
            </w:r>
            <w:r w:rsidRPr="00B817DA">
              <w:rPr>
                <w:rFonts w:ascii="Calibri" w:hAnsi="Calibri"/>
                <w:color w:val="000000"/>
                <w:sz w:val="20"/>
                <w:szCs w:val="20"/>
                <w:lang w:eastAsia="en-ZA"/>
              </w:rPr>
              <w:t xml:space="preserve"> SQL, OLE DB, ODBC 3.5, JDBC V 3.0 Type 4</w:t>
            </w:r>
          </w:p>
        </w:tc>
      </w:tr>
      <w:tr w:rsidR="00E73233" w:rsidRPr="00B817DA" w:rsidTr="00AF655E">
        <w:trPr>
          <w:trHeight w:val="300"/>
        </w:trPr>
        <w:tc>
          <w:tcPr>
            <w:tcW w:w="9356" w:type="dxa"/>
            <w:gridSpan w:val="3"/>
            <w:tcBorders>
              <w:top w:val="nil"/>
              <w:left w:val="single" w:sz="4" w:space="0" w:color="auto"/>
              <w:bottom w:val="single" w:sz="4" w:space="0" w:color="auto"/>
              <w:right w:val="single" w:sz="4" w:space="0" w:color="auto"/>
            </w:tcBorders>
            <w:shd w:val="clear" w:color="auto" w:fill="auto"/>
            <w:noWrap/>
            <w:vAlign w:val="bottom"/>
            <w:hideMark/>
          </w:tcPr>
          <w:p w:rsidR="00E73233" w:rsidRPr="00D316BC" w:rsidRDefault="00E73233" w:rsidP="00AF655E">
            <w:pPr>
              <w:rPr>
                <w:rFonts w:ascii="Calibri" w:hAnsi="Calibri"/>
                <w:color w:val="000000"/>
                <w:sz w:val="20"/>
                <w:szCs w:val="20"/>
                <w:lang w:eastAsia="en-ZA"/>
              </w:rPr>
            </w:pPr>
            <w:r w:rsidRPr="00D316BC">
              <w:rPr>
                <w:rFonts w:ascii="Calibri" w:hAnsi="Calibri"/>
                <w:b/>
                <w:bCs/>
                <w:color w:val="000000"/>
                <w:sz w:val="20"/>
                <w:szCs w:val="20"/>
                <w:lang w:eastAsia="en-ZA"/>
              </w:rPr>
              <w:t xml:space="preserve">SQL Standards: </w:t>
            </w:r>
            <w:r w:rsidRPr="00D316BC">
              <w:rPr>
                <w:rFonts w:ascii="Calibri" w:hAnsi="Calibri"/>
                <w:color w:val="000000"/>
                <w:sz w:val="20"/>
                <w:szCs w:val="20"/>
                <w:lang w:eastAsia="en-ZA"/>
              </w:rPr>
              <w:t>SQL-92 compliant, with SQL-99 extensions</w:t>
            </w:r>
          </w:p>
        </w:tc>
      </w:tr>
      <w:tr w:rsidR="00E73233" w:rsidRPr="00B817DA" w:rsidTr="00AF655E">
        <w:trPr>
          <w:trHeight w:val="300"/>
        </w:trPr>
        <w:tc>
          <w:tcPr>
            <w:tcW w:w="9356" w:type="dxa"/>
            <w:gridSpan w:val="3"/>
            <w:tcBorders>
              <w:top w:val="nil"/>
              <w:left w:val="single" w:sz="4" w:space="0" w:color="auto"/>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rsidRPr="00B817DA">
              <w:rPr>
                <w:rFonts w:ascii="Calibri" w:hAnsi="Calibri"/>
                <w:b/>
                <w:bCs/>
                <w:color w:val="000000"/>
                <w:sz w:val="20"/>
                <w:szCs w:val="20"/>
                <w:lang w:eastAsia="en-ZA"/>
              </w:rPr>
              <w:t>Programming Languages:</w:t>
            </w:r>
            <w:r w:rsidRPr="00B817DA">
              <w:rPr>
                <w:rFonts w:ascii="Calibri" w:hAnsi="Calibri"/>
                <w:color w:val="000000"/>
                <w:sz w:val="20"/>
                <w:szCs w:val="20"/>
                <w:lang w:eastAsia="en-ZA"/>
              </w:rPr>
              <w:t xml:space="preserve"> Java, Python, R, Fortran and C/C++</w:t>
            </w:r>
          </w:p>
        </w:tc>
      </w:tr>
      <w:tr w:rsidR="00E73233" w:rsidRPr="00B817DA" w:rsidTr="00AF655E">
        <w:trPr>
          <w:trHeight w:val="300"/>
        </w:trPr>
        <w:tc>
          <w:tcPr>
            <w:tcW w:w="9356" w:type="dxa"/>
            <w:gridSpan w:val="3"/>
            <w:tcBorders>
              <w:top w:val="nil"/>
              <w:left w:val="single" w:sz="4" w:space="0" w:color="auto"/>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rsidRPr="00B817DA">
              <w:rPr>
                <w:rFonts w:ascii="Calibri" w:hAnsi="Calibri"/>
                <w:b/>
                <w:bCs/>
                <w:color w:val="000000"/>
                <w:sz w:val="20"/>
                <w:szCs w:val="20"/>
                <w:lang w:eastAsia="en-ZA"/>
              </w:rPr>
              <w:t xml:space="preserve">Parallel Analytic Engines: </w:t>
            </w:r>
            <w:proofErr w:type="spellStart"/>
            <w:r w:rsidRPr="00B817DA">
              <w:rPr>
                <w:rFonts w:ascii="Calibri" w:hAnsi="Calibri"/>
                <w:color w:val="000000"/>
                <w:sz w:val="20"/>
                <w:szCs w:val="20"/>
                <w:lang w:eastAsia="en-ZA"/>
              </w:rPr>
              <w:t>nzMatrix</w:t>
            </w:r>
            <w:proofErr w:type="spellEnd"/>
            <w:r w:rsidRPr="00B817DA">
              <w:rPr>
                <w:rFonts w:ascii="Calibri" w:hAnsi="Calibri"/>
                <w:color w:val="000000"/>
                <w:sz w:val="20"/>
                <w:szCs w:val="20"/>
                <w:lang w:eastAsia="en-ZA"/>
              </w:rPr>
              <w:t xml:space="preserve">, </w:t>
            </w:r>
            <w:proofErr w:type="spellStart"/>
            <w:r w:rsidRPr="00B817DA">
              <w:rPr>
                <w:rFonts w:ascii="Calibri" w:hAnsi="Calibri"/>
                <w:color w:val="000000"/>
                <w:sz w:val="20"/>
                <w:szCs w:val="20"/>
                <w:lang w:eastAsia="en-ZA"/>
              </w:rPr>
              <w:t>nzEngine</w:t>
            </w:r>
            <w:proofErr w:type="spellEnd"/>
            <w:r w:rsidRPr="00B817DA">
              <w:rPr>
                <w:rFonts w:ascii="Calibri" w:hAnsi="Calibri"/>
                <w:color w:val="000000"/>
                <w:sz w:val="20"/>
                <w:szCs w:val="20"/>
                <w:lang w:eastAsia="en-ZA"/>
              </w:rPr>
              <w:t xml:space="preserve"> for R, </w:t>
            </w:r>
            <w:proofErr w:type="spellStart"/>
            <w:r w:rsidRPr="00B817DA">
              <w:rPr>
                <w:rFonts w:ascii="Calibri" w:hAnsi="Calibri"/>
                <w:color w:val="000000"/>
                <w:sz w:val="20"/>
                <w:szCs w:val="20"/>
                <w:lang w:eastAsia="en-ZA"/>
              </w:rPr>
              <w:t>nzEngine</w:t>
            </w:r>
            <w:proofErr w:type="spellEnd"/>
            <w:r w:rsidRPr="00B817DA">
              <w:rPr>
                <w:rFonts w:ascii="Calibri" w:hAnsi="Calibri"/>
                <w:color w:val="000000"/>
                <w:sz w:val="20"/>
                <w:szCs w:val="20"/>
                <w:lang w:eastAsia="en-ZA"/>
              </w:rPr>
              <w:t xml:space="preserve"> for Hadoop</w:t>
            </w:r>
          </w:p>
        </w:tc>
      </w:tr>
      <w:tr w:rsidR="00E73233" w:rsidRPr="00B817DA" w:rsidTr="00AF655E">
        <w:trPr>
          <w:trHeight w:val="300"/>
        </w:trPr>
        <w:tc>
          <w:tcPr>
            <w:tcW w:w="9356" w:type="dxa"/>
            <w:gridSpan w:val="3"/>
            <w:tcBorders>
              <w:top w:val="nil"/>
              <w:left w:val="single" w:sz="4" w:space="0" w:color="auto"/>
              <w:bottom w:val="single" w:sz="4" w:space="0" w:color="auto"/>
              <w:right w:val="single" w:sz="4" w:space="0" w:color="auto"/>
            </w:tcBorders>
            <w:shd w:val="clear" w:color="auto" w:fill="auto"/>
            <w:noWrap/>
            <w:vAlign w:val="bottom"/>
            <w:hideMark/>
          </w:tcPr>
          <w:p w:rsidR="00E73233" w:rsidRPr="00B817DA" w:rsidRDefault="00E73233" w:rsidP="00AF655E">
            <w:pPr>
              <w:rPr>
                <w:rFonts w:ascii="Calibri" w:hAnsi="Calibri"/>
                <w:color w:val="000000"/>
                <w:sz w:val="20"/>
                <w:szCs w:val="20"/>
                <w:lang w:eastAsia="en-ZA"/>
              </w:rPr>
            </w:pPr>
            <w:r w:rsidRPr="00B817DA">
              <w:rPr>
                <w:rFonts w:ascii="Calibri" w:hAnsi="Calibri"/>
                <w:b/>
                <w:bCs/>
                <w:color w:val="000000"/>
                <w:sz w:val="20"/>
                <w:szCs w:val="20"/>
                <w:lang w:eastAsia="en-ZA"/>
              </w:rPr>
              <w:t>In-Database Analytics:</w:t>
            </w:r>
            <w:r w:rsidRPr="00B817DA">
              <w:rPr>
                <w:rFonts w:ascii="Calibri" w:hAnsi="Calibri"/>
                <w:color w:val="000000"/>
                <w:sz w:val="20"/>
                <w:szCs w:val="20"/>
                <w:lang w:eastAsia="en-ZA"/>
              </w:rPr>
              <w:t xml:space="preserve"> </w:t>
            </w:r>
            <w:proofErr w:type="spellStart"/>
            <w:r w:rsidRPr="00B817DA">
              <w:rPr>
                <w:rFonts w:ascii="Calibri" w:hAnsi="Calibri"/>
                <w:color w:val="000000"/>
                <w:sz w:val="20"/>
                <w:szCs w:val="20"/>
                <w:lang w:eastAsia="en-ZA"/>
              </w:rPr>
              <w:t>nzAnalytics</w:t>
            </w:r>
            <w:proofErr w:type="spellEnd"/>
            <w:r w:rsidRPr="00B817DA">
              <w:rPr>
                <w:rFonts w:ascii="Calibri" w:hAnsi="Calibri"/>
                <w:color w:val="000000"/>
                <w:sz w:val="20"/>
                <w:szCs w:val="20"/>
                <w:lang w:eastAsia="en-ZA"/>
              </w:rPr>
              <w:t>, R Analytics, Scientific Analytics</w:t>
            </w:r>
          </w:p>
        </w:tc>
      </w:tr>
      <w:tr w:rsidR="00E73233" w:rsidRPr="00B817DA" w:rsidTr="00AF655E">
        <w:trPr>
          <w:trHeight w:val="370"/>
        </w:trPr>
        <w:tc>
          <w:tcPr>
            <w:tcW w:w="9356" w:type="dxa"/>
            <w:gridSpan w:val="3"/>
            <w:tcBorders>
              <w:top w:val="nil"/>
              <w:left w:val="single" w:sz="4" w:space="0" w:color="auto"/>
              <w:bottom w:val="single" w:sz="4" w:space="0" w:color="auto"/>
              <w:right w:val="single" w:sz="4" w:space="0" w:color="auto"/>
            </w:tcBorders>
            <w:shd w:val="clear" w:color="auto" w:fill="auto"/>
            <w:vAlign w:val="bottom"/>
            <w:hideMark/>
          </w:tcPr>
          <w:p w:rsidR="00E73233" w:rsidRPr="00B817DA" w:rsidRDefault="00E73233" w:rsidP="00AF655E">
            <w:pPr>
              <w:rPr>
                <w:rFonts w:ascii="Calibri" w:hAnsi="Calibri"/>
                <w:color w:val="000000"/>
                <w:sz w:val="20"/>
                <w:szCs w:val="20"/>
                <w:lang w:eastAsia="en-ZA"/>
              </w:rPr>
            </w:pPr>
            <w:r w:rsidRPr="00B817DA">
              <w:rPr>
                <w:rFonts w:ascii="Calibri" w:hAnsi="Calibri"/>
                <w:b/>
                <w:bCs/>
                <w:color w:val="000000"/>
                <w:sz w:val="20"/>
                <w:szCs w:val="20"/>
                <w:lang w:eastAsia="en-ZA"/>
              </w:rPr>
              <w:lastRenderedPageBreak/>
              <w:t>High-Speed Load/Unload:</w:t>
            </w:r>
            <w:r w:rsidRPr="00B817DA">
              <w:rPr>
                <w:rFonts w:ascii="Calibri" w:hAnsi="Calibri"/>
                <w:color w:val="000000"/>
                <w:sz w:val="20"/>
                <w:szCs w:val="20"/>
                <w:lang w:eastAsia="en-ZA"/>
              </w:rPr>
              <w:t xml:space="preserve"> Interoperability with ETL and EAI tools at rates of more than 2 TB/hour</w:t>
            </w:r>
          </w:p>
        </w:tc>
      </w:tr>
      <w:tr w:rsidR="00E73233" w:rsidRPr="00B817DA" w:rsidTr="00AF655E">
        <w:trPr>
          <w:trHeight w:val="417"/>
        </w:trPr>
        <w:tc>
          <w:tcPr>
            <w:tcW w:w="9356" w:type="dxa"/>
            <w:gridSpan w:val="3"/>
            <w:tcBorders>
              <w:top w:val="nil"/>
              <w:left w:val="single" w:sz="4" w:space="0" w:color="auto"/>
              <w:bottom w:val="single" w:sz="4" w:space="0" w:color="auto"/>
              <w:right w:val="single" w:sz="4" w:space="0" w:color="auto"/>
            </w:tcBorders>
            <w:shd w:val="clear" w:color="auto" w:fill="auto"/>
            <w:vAlign w:val="bottom"/>
            <w:hideMark/>
          </w:tcPr>
          <w:p w:rsidR="00E73233" w:rsidRPr="00B817DA" w:rsidRDefault="00E73233" w:rsidP="00AF655E">
            <w:pPr>
              <w:rPr>
                <w:rFonts w:ascii="Calibri" w:hAnsi="Calibri"/>
                <w:color w:val="000000"/>
                <w:sz w:val="20"/>
                <w:szCs w:val="20"/>
                <w:lang w:eastAsia="en-ZA"/>
              </w:rPr>
            </w:pPr>
            <w:r w:rsidRPr="00B817DA">
              <w:rPr>
                <w:rFonts w:ascii="Calibri" w:hAnsi="Calibri"/>
                <w:b/>
                <w:bCs/>
                <w:color w:val="000000"/>
                <w:sz w:val="20"/>
                <w:szCs w:val="20"/>
                <w:lang w:eastAsia="en-ZA"/>
              </w:rPr>
              <w:t xml:space="preserve">Backup &amp; Restore: </w:t>
            </w:r>
            <w:r w:rsidRPr="00B817DA">
              <w:rPr>
                <w:rFonts w:ascii="Calibri" w:hAnsi="Calibri"/>
                <w:color w:val="000000"/>
                <w:sz w:val="20"/>
                <w:szCs w:val="20"/>
                <w:lang w:eastAsia="en-ZA"/>
              </w:rPr>
              <w:t>Interoperable with EMC Legato, IBM Tivoli and Veritas, at rates higher than 4 TB/hour</w:t>
            </w:r>
          </w:p>
        </w:tc>
      </w:tr>
      <w:tr w:rsidR="00E73233" w:rsidRPr="00B817DA" w:rsidTr="00AF655E">
        <w:trPr>
          <w:trHeight w:val="600"/>
        </w:trPr>
        <w:tc>
          <w:tcPr>
            <w:tcW w:w="9356" w:type="dxa"/>
            <w:gridSpan w:val="3"/>
            <w:tcBorders>
              <w:top w:val="nil"/>
              <w:left w:val="single" w:sz="4" w:space="0" w:color="auto"/>
              <w:bottom w:val="single" w:sz="4" w:space="0" w:color="auto"/>
              <w:right w:val="single" w:sz="4" w:space="0" w:color="auto"/>
            </w:tcBorders>
            <w:shd w:val="clear" w:color="auto" w:fill="auto"/>
            <w:vAlign w:val="bottom"/>
            <w:hideMark/>
          </w:tcPr>
          <w:p w:rsidR="00E73233" w:rsidRPr="00B817DA" w:rsidRDefault="00E73233" w:rsidP="00AF655E">
            <w:pPr>
              <w:rPr>
                <w:rFonts w:ascii="Calibri" w:hAnsi="Calibri"/>
                <w:color w:val="000000"/>
                <w:sz w:val="20"/>
                <w:szCs w:val="20"/>
                <w:lang w:eastAsia="en-ZA"/>
              </w:rPr>
            </w:pPr>
            <w:r w:rsidRPr="00B817DA">
              <w:rPr>
                <w:rFonts w:ascii="Calibri" w:hAnsi="Calibri"/>
                <w:b/>
                <w:bCs/>
                <w:color w:val="000000"/>
                <w:sz w:val="20"/>
                <w:szCs w:val="20"/>
                <w:lang w:eastAsia="en-ZA"/>
              </w:rPr>
              <w:t xml:space="preserve">Database Portability: </w:t>
            </w:r>
            <w:r w:rsidRPr="00B817DA">
              <w:rPr>
                <w:rFonts w:ascii="Calibri" w:hAnsi="Calibri"/>
                <w:color w:val="000000"/>
                <w:sz w:val="20"/>
                <w:szCs w:val="20"/>
                <w:lang w:eastAsia="en-ZA"/>
              </w:rPr>
              <w:t>from IBM DB2, Informix, Microsoft SQL Server, MySQL, Oracle, Red Brick, Sybase IQ, Teradata</w:t>
            </w:r>
          </w:p>
        </w:tc>
      </w:tr>
      <w:tr w:rsidR="00E73233" w:rsidRPr="00B817DA" w:rsidTr="00AF655E">
        <w:trPr>
          <w:trHeight w:val="600"/>
        </w:trPr>
        <w:tc>
          <w:tcPr>
            <w:tcW w:w="9356" w:type="dxa"/>
            <w:gridSpan w:val="3"/>
            <w:tcBorders>
              <w:top w:val="nil"/>
              <w:left w:val="single" w:sz="4" w:space="0" w:color="auto"/>
              <w:bottom w:val="single" w:sz="4" w:space="0" w:color="auto"/>
              <w:right w:val="single" w:sz="4" w:space="0" w:color="auto"/>
            </w:tcBorders>
            <w:shd w:val="clear" w:color="auto" w:fill="auto"/>
            <w:vAlign w:val="bottom"/>
            <w:hideMark/>
          </w:tcPr>
          <w:p w:rsidR="00E73233" w:rsidRPr="00B817DA" w:rsidRDefault="00E73233" w:rsidP="00AF655E">
            <w:pPr>
              <w:rPr>
                <w:rFonts w:ascii="Calibri" w:hAnsi="Calibri"/>
                <w:color w:val="000000"/>
                <w:sz w:val="20"/>
                <w:szCs w:val="20"/>
                <w:lang w:eastAsia="en-ZA"/>
              </w:rPr>
            </w:pPr>
            <w:r w:rsidRPr="00B817DA">
              <w:rPr>
                <w:rFonts w:ascii="Calibri" w:hAnsi="Calibri"/>
                <w:b/>
                <w:bCs/>
                <w:color w:val="000000"/>
                <w:sz w:val="20"/>
                <w:szCs w:val="20"/>
                <w:lang w:eastAsia="en-ZA"/>
              </w:rPr>
              <w:t>Additional Tools:</w:t>
            </w:r>
            <w:r w:rsidRPr="00B817DA">
              <w:rPr>
                <w:rFonts w:ascii="Calibri" w:hAnsi="Calibri"/>
                <w:color w:val="000000"/>
                <w:sz w:val="20"/>
                <w:szCs w:val="20"/>
                <w:lang w:eastAsia="en-ZA"/>
              </w:rPr>
              <w:t xml:space="preserve"> Windows and web-based DB Admin GUI; CLI and high-speed loading/unloading for AIX, HP-UX, Linux, Solaris and Windows</w:t>
            </w:r>
          </w:p>
        </w:tc>
      </w:tr>
    </w:tbl>
    <w:p w:rsidR="00E73233" w:rsidRPr="005820F3" w:rsidRDefault="00E73233" w:rsidP="00E73233">
      <w:pPr>
        <w:tabs>
          <w:tab w:val="left" w:pos="720"/>
        </w:tabs>
        <w:suppressAutoHyphens/>
        <w:spacing w:line="360" w:lineRule="auto"/>
        <w:ind w:left="720" w:right="-142"/>
        <w:jc w:val="both"/>
        <w:rPr>
          <w:rFonts w:ascii="Calibri" w:hAnsi="Calibri" w:cs="Arial"/>
          <w:b/>
          <w:sz w:val="20"/>
          <w:szCs w:val="20"/>
          <w:lang w:val="en-GB"/>
        </w:rPr>
      </w:pPr>
    </w:p>
    <w:p w:rsidR="00E73233" w:rsidRPr="0073104E" w:rsidRDefault="00E73233" w:rsidP="00E73233">
      <w:pPr>
        <w:tabs>
          <w:tab w:val="left" w:pos="720"/>
        </w:tabs>
        <w:suppressAutoHyphens/>
        <w:spacing w:line="360" w:lineRule="auto"/>
        <w:ind w:left="720" w:right="-142"/>
        <w:jc w:val="both"/>
        <w:rPr>
          <w:rFonts w:ascii="Calibri" w:hAnsi="Calibri" w:cs="Arial"/>
          <w:sz w:val="20"/>
          <w:szCs w:val="20"/>
          <w:lang w:val="en-GB"/>
        </w:rPr>
      </w:pPr>
    </w:p>
    <w:p w:rsidR="00E73233" w:rsidRPr="00C76752" w:rsidRDefault="00E73233" w:rsidP="00E73233">
      <w:pPr>
        <w:tabs>
          <w:tab w:val="left" w:pos="720"/>
        </w:tabs>
        <w:suppressAutoHyphens/>
        <w:spacing w:line="360" w:lineRule="auto"/>
        <w:ind w:left="720" w:right="-142"/>
        <w:jc w:val="both"/>
        <w:rPr>
          <w:rFonts w:ascii="Calibri" w:hAnsi="Calibri" w:cs="Arial"/>
          <w:b/>
          <w:sz w:val="20"/>
          <w:szCs w:val="20"/>
          <w:lang w:val="en-GB"/>
        </w:rPr>
      </w:pPr>
      <w:r w:rsidRPr="00C76752">
        <w:rPr>
          <w:rFonts w:ascii="Calibri" w:hAnsi="Calibri" w:cs="Arial"/>
          <w:b/>
          <w:sz w:val="20"/>
          <w:szCs w:val="20"/>
          <w:lang w:val="en-GB"/>
        </w:rPr>
        <w:t>Databases</w:t>
      </w:r>
    </w:p>
    <w:p w:rsidR="00E73233" w:rsidRPr="00E36C84" w:rsidRDefault="00E73233" w:rsidP="00E36C84">
      <w:pPr>
        <w:spacing w:line="360" w:lineRule="auto"/>
        <w:ind w:left="848"/>
        <w:jc w:val="both"/>
        <w:rPr>
          <w:rFonts w:ascii="Calibri" w:hAnsi="Calibri" w:cs="Arial"/>
          <w:sz w:val="20"/>
          <w:szCs w:val="20"/>
          <w:lang w:val="en-GB"/>
        </w:rPr>
      </w:pPr>
      <w:r>
        <w:rPr>
          <w:rFonts w:ascii="Calibri" w:hAnsi="Calibri" w:cs="Arial"/>
          <w:sz w:val="20"/>
          <w:szCs w:val="20"/>
          <w:lang w:val="en-GB"/>
        </w:rPr>
        <w:t xml:space="preserve">The </w:t>
      </w:r>
      <w:proofErr w:type="spellStart"/>
      <w:r>
        <w:rPr>
          <w:rFonts w:ascii="Calibri" w:hAnsi="Calibri" w:cs="Arial"/>
          <w:sz w:val="20"/>
          <w:szCs w:val="20"/>
          <w:lang w:val="en-GB"/>
        </w:rPr>
        <w:t>Netezza</w:t>
      </w:r>
      <w:proofErr w:type="spellEnd"/>
      <w:r>
        <w:rPr>
          <w:rFonts w:ascii="Calibri" w:hAnsi="Calibri" w:cs="Arial"/>
          <w:sz w:val="20"/>
          <w:szCs w:val="20"/>
          <w:lang w:val="en-GB"/>
        </w:rPr>
        <w:t xml:space="preserve"> databases reside on </w:t>
      </w:r>
      <w:proofErr w:type="spellStart"/>
      <w:r>
        <w:rPr>
          <w:rFonts w:ascii="Calibri" w:hAnsi="Calibri" w:cs="Arial"/>
          <w:sz w:val="20"/>
          <w:szCs w:val="20"/>
          <w:lang w:val="en-GB"/>
        </w:rPr>
        <w:t>Netezza</w:t>
      </w:r>
      <w:proofErr w:type="spellEnd"/>
      <w:r>
        <w:rPr>
          <w:rFonts w:ascii="Calibri" w:hAnsi="Calibri" w:cs="Arial"/>
          <w:sz w:val="20"/>
          <w:szCs w:val="20"/>
          <w:lang w:val="en-GB"/>
        </w:rPr>
        <w:t xml:space="preserve"> Data Warehouse appliances. The total size of the Data Warehouse databases on the </w:t>
      </w:r>
      <w:r>
        <w:rPr>
          <w:rFonts w:ascii="Calibri" w:hAnsi="Calibri" w:cs="Arial"/>
          <w:b/>
          <w:sz w:val="20"/>
          <w:szCs w:val="20"/>
          <w:lang w:val="en-GB"/>
        </w:rPr>
        <w:t xml:space="preserve">IBM </w:t>
      </w:r>
      <w:proofErr w:type="spellStart"/>
      <w:r>
        <w:rPr>
          <w:rFonts w:ascii="Calibri" w:hAnsi="Calibri" w:cs="Arial"/>
          <w:b/>
          <w:sz w:val="20"/>
          <w:szCs w:val="20"/>
          <w:lang w:val="en-GB"/>
        </w:rPr>
        <w:t>PureData</w:t>
      </w:r>
      <w:proofErr w:type="spellEnd"/>
      <w:r>
        <w:rPr>
          <w:rFonts w:ascii="Calibri" w:hAnsi="Calibri" w:cs="Arial"/>
          <w:b/>
          <w:sz w:val="20"/>
          <w:szCs w:val="20"/>
          <w:lang w:val="en-GB"/>
        </w:rPr>
        <w:t xml:space="preserve"> System for Analytics N3001-002</w:t>
      </w:r>
      <w:r>
        <w:rPr>
          <w:rFonts w:ascii="Calibri" w:hAnsi="Calibri" w:cs="Arial"/>
          <w:sz w:val="20"/>
          <w:szCs w:val="20"/>
          <w:lang w:val="en-GB"/>
        </w:rPr>
        <w:t xml:space="preserve"> </w:t>
      </w:r>
      <w:proofErr w:type="spellStart"/>
      <w:r>
        <w:rPr>
          <w:rFonts w:ascii="Calibri" w:hAnsi="Calibri" w:cs="Arial"/>
          <w:sz w:val="20"/>
          <w:szCs w:val="20"/>
          <w:lang w:val="en-GB"/>
        </w:rPr>
        <w:t>Netezza</w:t>
      </w:r>
      <w:proofErr w:type="spellEnd"/>
      <w:r>
        <w:rPr>
          <w:rFonts w:ascii="Calibri" w:hAnsi="Calibri" w:cs="Arial"/>
          <w:sz w:val="20"/>
          <w:szCs w:val="20"/>
          <w:lang w:val="en-GB"/>
        </w:rPr>
        <w:t xml:space="preserve"> Performance Server is approximately 8 TB (uses approximately 7.5 TB). Based on the current size of the CDW data warehouse, it is estimated that the database will grow at a steady pace over the next five years considering the amount of data currently processed on a daily basis.  The CDW Production environment is replicated to the DR site each night by shipping an incremental backup file across the network and restoring this file at the DR Site. The two major sites </w:t>
      </w:r>
      <w:proofErr w:type="spellStart"/>
      <w:r>
        <w:rPr>
          <w:rFonts w:ascii="Calibri" w:hAnsi="Calibri" w:cs="Arial"/>
          <w:sz w:val="20"/>
          <w:szCs w:val="20"/>
          <w:lang w:val="en-GB"/>
        </w:rPr>
        <w:t>Braamfontein</w:t>
      </w:r>
      <w:proofErr w:type="spellEnd"/>
      <w:r>
        <w:rPr>
          <w:rFonts w:ascii="Calibri" w:hAnsi="Calibri" w:cs="Arial"/>
          <w:sz w:val="20"/>
          <w:szCs w:val="20"/>
          <w:lang w:val="en-GB"/>
        </w:rPr>
        <w:t xml:space="preserve"> and Sandringham, hosting datacentres are connected via a 200Mbps high speed link of which 32Mbps is allocated for synchronization between </w:t>
      </w:r>
      <w:r>
        <w:rPr>
          <w:rFonts w:ascii="Calibri" w:hAnsi="Calibri" w:cs="Arial"/>
          <w:b/>
          <w:sz w:val="20"/>
          <w:szCs w:val="20"/>
          <w:lang w:val="en-GB"/>
        </w:rPr>
        <w:t xml:space="preserve">IBM </w:t>
      </w:r>
      <w:proofErr w:type="spellStart"/>
      <w:r>
        <w:rPr>
          <w:rFonts w:ascii="Calibri" w:hAnsi="Calibri" w:cs="Arial"/>
          <w:b/>
          <w:sz w:val="20"/>
          <w:szCs w:val="20"/>
          <w:lang w:val="en-GB"/>
        </w:rPr>
        <w:t>PureData</w:t>
      </w:r>
      <w:proofErr w:type="spellEnd"/>
      <w:r>
        <w:rPr>
          <w:rFonts w:ascii="Calibri" w:hAnsi="Calibri" w:cs="Arial"/>
          <w:b/>
          <w:sz w:val="20"/>
          <w:szCs w:val="20"/>
          <w:lang w:val="en-GB"/>
        </w:rPr>
        <w:t xml:space="preserve"> System for Analytics N3001-002 </w:t>
      </w:r>
      <w:proofErr w:type="spellStart"/>
      <w:r>
        <w:rPr>
          <w:rFonts w:ascii="Calibri" w:hAnsi="Calibri" w:cs="Arial"/>
          <w:b/>
          <w:sz w:val="20"/>
          <w:szCs w:val="20"/>
          <w:lang w:val="en-GB"/>
        </w:rPr>
        <w:t>Netezza</w:t>
      </w:r>
      <w:proofErr w:type="spellEnd"/>
      <w:r>
        <w:rPr>
          <w:rFonts w:ascii="Calibri" w:hAnsi="Calibri" w:cs="Arial"/>
          <w:b/>
          <w:sz w:val="20"/>
          <w:szCs w:val="20"/>
          <w:lang w:val="en-GB"/>
        </w:rPr>
        <w:t xml:space="preserve"> Performance Server</w:t>
      </w:r>
      <w:r>
        <w:rPr>
          <w:rFonts w:ascii="Calibri" w:hAnsi="Calibri" w:cs="Arial"/>
          <w:sz w:val="20"/>
          <w:szCs w:val="20"/>
          <w:lang w:val="en-GB"/>
        </w:rPr>
        <w:t xml:space="preserve"> (NPS) production and DR.</w:t>
      </w:r>
    </w:p>
    <w:p w:rsidR="008C6C44" w:rsidRPr="00570D13" w:rsidRDefault="008C6C44" w:rsidP="00430220"/>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00E73233">
        <w:rPr>
          <w:rFonts w:ascii="Arial Narrow" w:hAnsi="Arial Narrow"/>
        </w:rPr>
        <w:t>.</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E36C84" w:rsidRDefault="00E36C84" w:rsidP="00430220"/>
    <w:p w:rsidR="00E36C84" w:rsidRDefault="00E36C84" w:rsidP="00430220"/>
    <w:p w:rsidR="00E36C84" w:rsidRDefault="00E36C84" w:rsidP="00430220"/>
    <w:p w:rsidR="00E36C84" w:rsidRDefault="00E36C84" w:rsidP="00430220"/>
    <w:p w:rsidR="00E36C84" w:rsidRDefault="00E36C84"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bookmarkEnd w:id="14"/>
      <w:r w:rsidR="00CD69A2">
        <w:rPr>
          <w:rFonts w:ascii="Arial" w:hAnsi="Arial" w:cs="Arial"/>
          <w:sz w:val="24"/>
          <w:szCs w:val="24"/>
        </w:rPr>
        <w:t>:</w:t>
      </w:r>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8C6C44" w:rsidRPr="00977961" w:rsidRDefault="008C6C44" w:rsidP="008C6C44">
      <w:pPr>
        <w:spacing w:line="360" w:lineRule="auto"/>
        <w:jc w:val="both"/>
        <w:rPr>
          <w:rFonts w:ascii="Calibri" w:hAnsi="Calibri" w:cs="Arial"/>
          <w:b/>
          <w:sz w:val="20"/>
          <w:szCs w:val="20"/>
          <w:lang w:val="en-GB"/>
        </w:rPr>
      </w:pPr>
      <w:r w:rsidRPr="00977961">
        <w:rPr>
          <w:rFonts w:ascii="Calibri" w:hAnsi="Calibri" w:cs="Arial"/>
          <w:b/>
          <w:sz w:val="20"/>
          <w:szCs w:val="20"/>
          <w:lang w:val="en-GB"/>
        </w:rPr>
        <w:t>EVALUATION CRITERIA AND SCORING</w:t>
      </w:r>
    </w:p>
    <w:p w:rsidR="008C6C44" w:rsidRPr="00977961" w:rsidRDefault="008C6C44" w:rsidP="008C6C44">
      <w:pPr>
        <w:spacing w:line="360" w:lineRule="auto"/>
        <w:jc w:val="both"/>
        <w:rPr>
          <w:rFonts w:ascii="Calibri" w:hAnsi="Calibri" w:cs="Arial"/>
          <w:sz w:val="20"/>
          <w:szCs w:val="20"/>
          <w:lang w:val="en-GB"/>
        </w:rPr>
      </w:pPr>
      <w:r w:rsidRPr="00977961">
        <w:rPr>
          <w:rFonts w:ascii="Calibri" w:hAnsi="Calibri" w:cs="Arial"/>
          <w:sz w:val="20"/>
          <w:szCs w:val="20"/>
          <w:lang w:val="en-GB"/>
        </w:rPr>
        <w:t>The evaluation and scoring process will consider the depth, relevance, clarity and evidence provided by the Bidder</w:t>
      </w:r>
      <w:r>
        <w:rPr>
          <w:rFonts w:ascii="Calibri" w:hAnsi="Calibri" w:cs="Arial"/>
          <w:sz w:val="20"/>
          <w:szCs w:val="20"/>
          <w:lang w:val="en-GB"/>
        </w:rPr>
        <w:t xml:space="preserve"> on each and every requirement:</w:t>
      </w:r>
    </w:p>
    <w:tbl>
      <w:tblPr>
        <w:tblW w:w="9486" w:type="dxa"/>
        <w:tblInd w:w="91" w:type="dxa"/>
        <w:tblCellMar>
          <w:left w:w="0" w:type="dxa"/>
          <w:right w:w="0" w:type="dxa"/>
        </w:tblCellMar>
        <w:tblLook w:val="04A0" w:firstRow="1" w:lastRow="0" w:firstColumn="1" w:lastColumn="0" w:noHBand="0" w:noVBand="1"/>
      </w:tblPr>
      <w:tblGrid>
        <w:gridCol w:w="4427"/>
        <w:gridCol w:w="1260"/>
        <w:gridCol w:w="3799"/>
      </w:tblGrid>
      <w:tr w:rsidR="008C6C44" w:rsidRPr="00334498" w:rsidTr="00AF655E">
        <w:trPr>
          <w:trHeight w:val="300"/>
        </w:trPr>
        <w:tc>
          <w:tcPr>
            <w:tcW w:w="44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C6C44" w:rsidRPr="00334498" w:rsidRDefault="008C6C44" w:rsidP="00AF655E">
            <w:pPr>
              <w:pStyle w:val="ListParagraph"/>
              <w:ind w:left="788"/>
              <w:rPr>
                <w:rStyle w:val="Heading12"/>
                <w:rFonts w:cs="Arial"/>
                <w:sz w:val="20"/>
                <w:szCs w:val="20"/>
              </w:rPr>
            </w:pPr>
            <w:bookmarkStart w:id="15" w:name="_Hlk78451864"/>
            <w:r w:rsidRPr="00334498">
              <w:rPr>
                <w:rStyle w:val="Heading12"/>
                <w:rFonts w:cs="Arial"/>
                <w:sz w:val="20"/>
                <w:szCs w:val="20"/>
              </w:rPr>
              <w:t>Requirements</w:t>
            </w:r>
          </w:p>
        </w:tc>
        <w:tc>
          <w:tcPr>
            <w:tcW w:w="1260"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bottom"/>
            <w:hideMark/>
          </w:tcPr>
          <w:p w:rsidR="008C6C44" w:rsidRPr="00334498" w:rsidRDefault="008C6C44" w:rsidP="00AF655E">
            <w:pPr>
              <w:jc w:val="center"/>
              <w:rPr>
                <w:rStyle w:val="Heading12"/>
                <w:rFonts w:cs="Arial"/>
                <w:bCs/>
                <w:sz w:val="20"/>
                <w:szCs w:val="20"/>
              </w:rPr>
            </w:pPr>
            <w:r w:rsidRPr="00334498">
              <w:rPr>
                <w:rStyle w:val="Heading12"/>
                <w:rFonts w:cs="Arial"/>
                <w:bCs/>
                <w:sz w:val="20"/>
                <w:szCs w:val="20"/>
              </w:rPr>
              <w:t>Weight (%)</w:t>
            </w:r>
          </w:p>
        </w:tc>
        <w:tc>
          <w:tcPr>
            <w:tcW w:w="379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8C6C44" w:rsidRPr="00334498" w:rsidRDefault="008C6C44" w:rsidP="00AF655E">
            <w:pPr>
              <w:pStyle w:val="ListParagraph"/>
              <w:ind w:left="788"/>
              <w:rPr>
                <w:rStyle w:val="Heading12"/>
                <w:rFonts w:cs="Arial"/>
                <w:bCs/>
                <w:sz w:val="20"/>
                <w:szCs w:val="20"/>
              </w:rPr>
            </w:pPr>
            <w:r w:rsidRPr="00334498">
              <w:rPr>
                <w:rStyle w:val="Heading12"/>
                <w:rFonts w:cs="Arial"/>
                <w:bCs/>
                <w:sz w:val="20"/>
                <w:szCs w:val="20"/>
              </w:rPr>
              <w:t>Scoring</w:t>
            </w:r>
          </w:p>
        </w:tc>
      </w:tr>
      <w:tr w:rsidR="008C6C44" w:rsidRPr="00334498" w:rsidTr="00AF655E">
        <w:trPr>
          <w:trHeight w:val="540"/>
        </w:trPr>
        <w:tc>
          <w:tcPr>
            <w:tcW w:w="44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C6C44" w:rsidRPr="001266E9" w:rsidRDefault="008C6C44" w:rsidP="00AF655E">
            <w:pPr>
              <w:rPr>
                <w:rStyle w:val="Heading12"/>
                <w:rFonts w:cs="Arial"/>
                <w:bCs/>
                <w:sz w:val="20"/>
                <w:szCs w:val="20"/>
              </w:rPr>
            </w:pPr>
            <w:r>
              <w:rPr>
                <w:rStyle w:val="Heading12"/>
                <w:rFonts w:cs="Arial"/>
                <w:bCs/>
                <w:sz w:val="20"/>
                <w:szCs w:val="20"/>
              </w:rPr>
              <w:t>Signed Letter for Providing IT Software Licenses</w:t>
            </w:r>
          </w:p>
          <w:p w:rsidR="008C6C44" w:rsidRPr="00334498" w:rsidRDefault="008C6C44" w:rsidP="00AF655E">
            <w:pPr>
              <w:rPr>
                <w:rStyle w:val="Heading12"/>
                <w:rFonts w:cs="Arial"/>
                <w:b w:val="0"/>
                <w:bCs/>
                <w:sz w:val="20"/>
                <w:szCs w:val="20"/>
              </w:rPr>
            </w:pPr>
          </w:p>
        </w:tc>
        <w:tc>
          <w:tcPr>
            <w:tcW w:w="126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8C6C44" w:rsidRPr="00FA4DC9" w:rsidRDefault="008C6C44" w:rsidP="00AF655E">
            <w:pPr>
              <w:jc w:val="center"/>
              <w:rPr>
                <w:rStyle w:val="Heading12"/>
                <w:rFonts w:cs="Arial"/>
                <w:b w:val="0"/>
                <w:bCs/>
                <w:sz w:val="20"/>
                <w:szCs w:val="20"/>
              </w:rPr>
            </w:pPr>
            <w:r w:rsidRPr="00FA4DC9">
              <w:rPr>
                <w:rStyle w:val="Heading12"/>
                <w:rFonts w:cs="Arial"/>
                <w:bCs/>
                <w:sz w:val="20"/>
                <w:szCs w:val="20"/>
              </w:rPr>
              <w:t>50%</w:t>
            </w:r>
          </w:p>
        </w:tc>
        <w:tc>
          <w:tcPr>
            <w:tcW w:w="379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8C6C44" w:rsidRDefault="008C6C44" w:rsidP="00AF655E">
            <w:pPr>
              <w:rPr>
                <w:rStyle w:val="Heading12"/>
                <w:rFonts w:cs="Arial"/>
                <w:bCs/>
                <w:sz w:val="20"/>
                <w:szCs w:val="20"/>
              </w:rPr>
            </w:pPr>
            <w:r>
              <w:rPr>
                <w:rStyle w:val="Heading12"/>
                <w:rFonts w:cs="Arial"/>
                <w:bCs/>
                <w:sz w:val="20"/>
                <w:szCs w:val="20"/>
              </w:rPr>
              <w:t>Years of providing IT Software Licenses</w:t>
            </w:r>
          </w:p>
          <w:p w:rsidR="008C6C44" w:rsidRDefault="008C6C44" w:rsidP="00AF655E">
            <w:pPr>
              <w:rPr>
                <w:rStyle w:val="Heading12"/>
                <w:rFonts w:cs="Arial"/>
                <w:b w:val="0"/>
                <w:bCs/>
                <w:sz w:val="20"/>
                <w:szCs w:val="20"/>
              </w:rPr>
            </w:pPr>
          </w:p>
          <w:p w:rsidR="008C6C44" w:rsidRDefault="008C6C44" w:rsidP="008C6C44">
            <w:pPr>
              <w:numPr>
                <w:ilvl w:val="0"/>
                <w:numId w:val="40"/>
              </w:numPr>
              <w:rPr>
                <w:rStyle w:val="Heading12"/>
                <w:rFonts w:cs="Arial"/>
                <w:b w:val="0"/>
                <w:bCs/>
                <w:sz w:val="20"/>
                <w:szCs w:val="20"/>
              </w:rPr>
            </w:pPr>
            <w:r>
              <w:rPr>
                <w:rStyle w:val="Heading12"/>
                <w:rFonts w:cs="Arial"/>
                <w:b w:val="0"/>
                <w:bCs/>
                <w:sz w:val="20"/>
                <w:szCs w:val="20"/>
              </w:rPr>
              <w:t>More than 5 years = 50</w:t>
            </w:r>
          </w:p>
          <w:p w:rsidR="008C6C44" w:rsidRPr="00334498" w:rsidRDefault="008C6C44" w:rsidP="008C6C44">
            <w:pPr>
              <w:numPr>
                <w:ilvl w:val="0"/>
                <w:numId w:val="40"/>
              </w:numPr>
              <w:rPr>
                <w:rStyle w:val="Heading12"/>
                <w:rFonts w:cs="Arial"/>
                <w:b w:val="0"/>
                <w:bCs/>
                <w:sz w:val="20"/>
                <w:szCs w:val="20"/>
              </w:rPr>
            </w:pPr>
            <w:r>
              <w:rPr>
                <w:rStyle w:val="Heading12"/>
                <w:rFonts w:cs="Arial"/>
                <w:b w:val="0"/>
                <w:bCs/>
                <w:sz w:val="20"/>
                <w:szCs w:val="20"/>
              </w:rPr>
              <w:t>3 – 5 Years = 40</w:t>
            </w:r>
          </w:p>
          <w:p w:rsidR="008C6C44" w:rsidRPr="00334498" w:rsidRDefault="008C6C44" w:rsidP="008C6C44">
            <w:pPr>
              <w:pStyle w:val="ListParagraph"/>
              <w:numPr>
                <w:ilvl w:val="0"/>
                <w:numId w:val="40"/>
              </w:numPr>
              <w:rPr>
                <w:rStyle w:val="Heading12"/>
                <w:rFonts w:cs="Arial"/>
                <w:b w:val="0"/>
                <w:bCs/>
                <w:sz w:val="20"/>
                <w:szCs w:val="20"/>
              </w:rPr>
            </w:pPr>
            <w:r w:rsidRPr="00CF03C6">
              <w:rPr>
                <w:rStyle w:val="Heading12"/>
                <w:rFonts w:cs="Arial"/>
                <w:b w:val="0"/>
                <w:bCs/>
                <w:sz w:val="20"/>
                <w:szCs w:val="20"/>
              </w:rPr>
              <w:t>1 – 2 Years = 30</w:t>
            </w:r>
          </w:p>
          <w:p w:rsidR="008C6C44" w:rsidRPr="00FA4DC9" w:rsidRDefault="008C6C44" w:rsidP="008C6C44">
            <w:pPr>
              <w:pStyle w:val="ListParagraph"/>
              <w:numPr>
                <w:ilvl w:val="0"/>
                <w:numId w:val="40"/>
              </w:numPr>
              <w:rPr>
                <w:rStyle w:val="Heading12"/>
                <w:rFonts w:cs="Arial"/>
                <w:b w:val="0"/>
                <w:bCs/>
                <w:sz w:val="20"/>
                <w:szCs w:val="20"/>
              </w:rPr>
            </w:pPr>
            <w:r w:rsidRPr="00CF03C6">
              <w:rPr>
                <w:rStyle w:val="Heading12"/>
                <w:rFonts w:cs="Arial"/>
                <w:b w:val="0"/>
                <w:bCs/>
                <w:sz w:val="20"/>
                <w:szCs w:val="20"/>
              </w:rPr>
              <w:t>Less than 1 year = 0</w:t>
            </w:r>
          </w:p>
        </w:tc>
      </w:tr>
      <w:tr w:rsidR="008C6C44" w:rsidRPr="00334498" w:rsidTr="00AF655E">
        <w:trPr>
          <w:trHeight w:val="848"/>
        </w:trPr>
        <w:tc>
          <w:tcPr>
            <w:tcW w:w="4427"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8C6C44" w:rsidRPr="00334498" w:rsidRDefault="008C6C44" w:rsidP="00AF655E">
            <w:pPr>
              <w:rPr>
                <w:rStyle w:val="Heading12"/>
                <w:rFonts w:cs="Arial"/>
                <w:b w:val="0"/>
                <w:bCs/>
                <w:sz w:val="20"/>
                <w:szCs w:val="20"/>
              </w:rPr>
            </w:pPr>
            <w:r w:rsidRPr="00334498">
              <w:rPr>
                <w:rStyle w:val="Heading12"/>
                <w:rFonts w:cs="Arial"/>
                <w:bCs/>
                <w:sz w:val="20"/>
                <w:szCs w:val="20"/>
              </w:rPr>
              <w:t>Track Record</w:t>
            </w:r>
          </w:p>
          <w:p w:rsidR="008C6C44" w:rsidRPr="00334498" w:rsidRDefault="008C6C44" w:rsidP="00AF655E">
            <w:pPr>
              <w:rPr>
                <w:rStyle w:val="Heading12"/>
                <w:rFonts w:cs="Arial"/>
                <w:b w:val="0"/>
                <w:bCs/>
                <w:sz w:val="20"/>
                <w:szCs w:val="20"/>
              </w:rPr>
            </w:pPr>
          </w:p>
          <w:p w:rsidR="008C6C44" w:rsidRPr="00334498" w:rsidRDefault="008C6C44" w:rsidP="00AF655E">
            <w:pPr>
              <w:rPr>
                <w:rStyle w:val="Heading12"/>
                <w:rFonts w:cs="Arial"/>
                <w:b w:val="0"/>
                <w:bCs/>
                <w:sz w:val="20"/>
                <w:szCs w:val="20"/>
              </w:rPr>
            </w:pPr>
            <w:r w:rsidRPr="00334498">
              <w:rPr>
                <w:rStyle w:val="Heading12"/>
                <w:rFonts w:cs="Arial"/>
                <w:bCs/>
                <w:sz w:val="20"/>
                <w:szCs w:val="20"/>
              </w:rPr>
              <w:t>The Bidder must include the references where they have s</w:t>
            </w:r>
            <w:r>
              <w:rPr>
                <w:rStyle w:val="Heading12"/>
                <w:rFonts w:cs="Arial"/>
                <w:bCs/>
                <w:sz w:val="20"/>
                <w:szCs w:val="20"/>
              </w:rPr>
              <w:t>uccessfully provided IT Software licenses</w:t>
            </w:r>
          </w:p>
        </w:tc>
        <w:tc>
          <w:tcPr>
            <w:tcW w:w="1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8C6C44" w:rsidRPr="00FA4DC9" w:rsidRDefault="008C6C44" w:rsidP="00AF655E">
            <w:pPr>
              <w:jc w:val="center"/>
              <w:rPr>
                <w:rStyle w:val="Heading12"/>
                <w:rFonts w:cs="Arial"/>
                <w:b w:val="0"/>
                <w:bCs/>
                <w:sz w:val="20"/>
                <w:szCs w:val="20"/>
              </w:rPr>
            </w:pPr>
            <w:r w:rsidRPr="00FA4DC9">
              <w:rPr>
                <w:rStyle w:val="Heading12"/>
                <w:rFonts w:cs="Arial"/>
                <w:bCs/>
                <w:sz w:val="20"/>
                <w:szCs w:val="20"/>
              </w:rPr>
              <w:t>50%</w:t>
            </w:r>
          </w:p>
        </w:tc>
        <w:tc>
          <w:tcPr>
            <w:tcW w:w="379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8C6C44" w:rsidRDefault="008C6C44" w:rsidP="00AF655E">
            <w:pPr>
              <w:rPr>
                <w:rStyle w:val="Heading12"/>
                <w:rFonts w:cs="Arial"/>
                <w:b w:val="0"/>
                <w:bCs/>
                <w:sz w:val="20"/>
                <w:szCs w:val="20"/>
              </w:rPr>
            </w:pPr>
            <w:r>
              <w:rPr>
                <w:rStyle w:val="Heading12"/>
                <w:rFonts w:cs="Arial"/>
                <w:bCs/>
                <w:sz w:val="20"/>
                <w:szCs w:val="20"/>
              </w:rPr>
              <w:t>References</w:t>
            </w:r>
          </w:p>
          <w:p w:rsidR="008C6C44" w:rsidRDefault="008C6C44" w:rsidP="008C6C44">
            <w:pPr>
              <w:numPr>
                <w:ilvl w:val="0"/>
                <w:numId w:val="41"/>
              </w:numPr>
              <w:rPr>
                <w:rStyle w:val="Heading12"/>
                <w:rFonts w:cs="Arial"/>
                <w:b w:val="0"/>
                <w:bCs/>
                <w:sz w:val="20"/>
                <w:szCs w:val="20"/>
              </w:rPr>
            </w:pPr>
            <w:r>
              <w:rPr>
                <w:rStyle w:val="Heading12"/>
                <w:rFonts w:cs="Arial"/>
                <w:b w:val="0"/>
                <w:bCs/>
                <w:sz w:val="20"/>
                <w:szCs w:val="20"/>
              </w:rPr>
              <w:t>More than 3 References = 50</w:t>
            </w:r>
          </w:p>
          <w:p w:rsidR="008C6C44" w:rsidRPr="00334498" w:rsidRDefault="008C6C44" w:rsidP="008C6C44">
            <w:pPr>
              <w:numPr>
                <w:ilvl w:val="0"/>
                <w:numId w:val="41"/>
              </w:numPr>
              <w:rPr>
                <w:rStyle w:val="Heading12"/>
                <w:rFonts w:cs="Arial"/>
                <w:b w:val="0"/>
                <w:bCs/>
                <w:sz w:val="20"/>
                <w:szCs w:val="20"/>
              </w:rPr>
            </w:pPr>
            <w:r>
              <w:rPr>
                <w:rStyle w:val="Heading12"/>
                <w:rFonts w:cs="Arial"/>
                <w:b w:val="0"/>
                <w:bCs/>
                <w:sz w:val="20"/>
                <w:szCs w:val="20"/>
              </w:rPr>
              <w:t>2 – 3 References = 40</w:t>
            </w:r>
          </w:p>
          <w:p w:rsidR="008C6C44" w:rsidRPr="00334498" w:rsidRDefault="008C6C44" w:rsidP="008C6C44">
            <w:pPr>
              <w:pStyle w:val="ListParagraph"/>
              <w:numPr>
                <w:ilvl w:val="0"/>
                <w:numId w:val="41"/>
              </w:numPr>
              <w:rPr>
                <w:rStyle w:val="Heading12"/>
                <w:rFonts w:cs="Arial"/>
                <w:b w:val="0"/>
                <w:bCs/>
                <w:sz w:val="20"/>
                <w:szCs w:val="20"/>
              </w:rPr>
            </w:pPr>
            <w:r w:rsidRPr="00CF03C6">
              <w:rPr>
                <w:rStyle w:val="Heading12"/>
                <w:rFonts w:cs="Arial"/>
                <w:b w:val="0"/>
                <w:bCs/>
                <w:sz w:val="20"/>
                <w:szCs w:val="20"/>
              </w:rPr>
              <w:t>1 Reference = 30</w:t>
            </w:r>
          </w:p>
          <w:p w:rsidR="008C6C44" w:rsidRPr="00FA4DC9" w:rsidRDefault="008C6C44" w:rsidP="008C6C44">
            <w:pPr>
              <w:pStyle w:val="ListParagraph"/>
              <w:numPr>
                <w:ilvl w:val="0"/>
                <w:numId w:val="41"/>
              </w:numPr>
              <w:rPr>
                <w:rStyle w:val="Heading12"/>
                <w:rFonts w:cs="Arial"/>
                <w:b w:val="0"/>
                <w:bCs/>
                <w:sz w:val="20"/>
                <w:szCs w:val="20"/>
              </w:rPr>
            </w:pPr>
            <w:r w:rsidRPr="00CF03C6">
              <w:rPr>
                <w:rStyle w:val="Heading12"/>
                <w:rFonts w:cs="Arial"/>
                <w:b w:val="0"/>
                <w:bCs/>
                <w:sz w:val="20"/>
                <w:szCs w:val="20"/>
              </w:rPr>
              <w:t>No References = 0</w:t>
            </w:r>
          </w:p>
        </w:tc>
      </w:tr>
      <w:tr w:rsidR="008C6C44" w:rsidRPr="00334498" w:rsidTr="00AF655E">
        <w:trPr>
          <w:trHeight w:val="252"/>
        </w:trPr>
        <w:tc>
          <w:tcPr>
            <w:tcW w:w="4427"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8C6C44" w:rsidRPr="00334498" w:rsidRDefault="008C6C44" w:rsidP="00AF655E">
            <w:pPr>
              <w:rPr>
                <w:rStyle w:val="Heading12"/>
                <w:rFonts w:cs="Arial"/>
                <w:bCs/>
                <w:sz w:val="20"/>
                <w:szCs w:val="20"/>
              </w:rPr>
            </w:pPr>
            <w:r w:rsidRPr="00334498">
              <w:rPr>
                <w:rStyle w:val="Heading12"/>
                <w:rFonts w:cs="Arial"/>
                <w:bCs/>
                <w:sz w:val="20"/>
                <w:szCs w:val="20"/>
              </w:rPr>
              <w:t>Total</w:t>
            </w:r>
          </w:p>
        </w:tc>
        <w:tc>
          <w:tcPr>
            <w:tcW w:w="1260" w:type="dxa"/>
            <w:vMerge w:val="restart"/>
            <w:tcBorders>
              <w:top w:val="single" w:sz="8" w:space="0" w:color="auto"/>
              <w:left w:val="nil"/>
              <w:right w:val="single" w:sz="8" w:space="0" w:color="auto"/>
            </w:tcBorders>
            <w:noWrap/>
            <w:tcMar>
              <w:top w:w="0" w:type="dxa"/>
              <w:left w:w="108" w:type="dxa"/>
              <w:bottom w:w="0" w:type="dxa"/>
              <w:right w:w="108" w:type="dxa"/>
            </w:tcMar>
            <w:vAlign w:val="bottom"/>
            <w:hideMark/>
          </w:tcPr>
          <w:p w:rsidR="008C6C44" w:rsidRPr="00FA4DC9" w:rsidRDefault="008C6C44" w:rsidP="00AF655E">
            <w:pPr>
              <w:jc w:val="center"/>
              <w:rPr>
                <w:rStyle w:val="Heading12"/>
                <w:rFonts w:cs="Arial"/>
                <w:bCs/>
                <w:sz w:val="20"/>
                <w:szCs w:val="20"/>
              </w:rPr>
            </w:pPr>
            <w:r w:rsidRPr="00FA4DC9">
              <w:rPr>
                <w:rStyle w:val="Heading12"/>
                <w:rFonts w:cs="Arial"/>
                <w:bCs/>
                <w:sz w:val="20"/>
                <w:szCs w:val="20"/>
              </w:rPr>
              <w:t>100%</w:t>
            </w:r>
          </w:p>
        </w:tc>
        <w:tc>
          <w:tcPr>
            <w:tcW w:w="3799" w:type="dxa"/>
            <w:vMerge w:val="restart"/>
            <w:tcBorders>
              <w:top w:val="single" w:sz="8" w:space="0" w:color="auto"/>
              <w:left w:val="nil"/>
              <w:right w:val="single" w:sz="8" w:space="0" w:color="auto"/>
            </w:tcBorders>
            <w:tcMar>
              <w:top w:w="0" w:type="dxa"/>
              <w:left w:w="108" w:type="dxa"/>
              <w:bottom w:w="0" w:type="dxa"/>
              <w:right w:w="108" w:type="dxa"/>
            </w:tcMar>
            <w:vAlign w:val="bottom"/>
          </w:tcPr>
          <w:p w:rsidR="008C6C44" w:rsidRPr="00334498" w:rsidRDefault="008C6C44" w:rsidP="00AF655E">
            <w:pPr>
              <w:pStyle w:val="ListParagraph"/>
              <w:ind w:left="788"/>
              <w:rPr>
                <w:rStyle w:val="Heading12"/>
                <w:rFonts w:cs="Arial"/>
                <w:bCs/>
                <w:sz w:val="20"/>
                <w:szCs w:val="20"/>
              </w:rPr>
            </w:pPr>
          </w:p>
        </w:tc>
      </w:tr>
      <w:tr w:rsidR="008C6C44" w:rsidRPr="00334498" w:rsidTr="00AF655E">
        <w:trPr>
          <w:trHeight w:val="251"/>
        </w:trPr>
        <w:tc>
          <w:tcPr>
            <w:tcW w:w="44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8C6C44" w:rsidRPr="00334498" w:rsidRDefault="008C6C44" w:rsidP="00AF655E">
            <w:pPr>
              <w:pStyle w:val="ListParagraph"/>
              <w:ind w:left="788"/>
              <w:rPr>
                <w:rStyle w:val="Heading12"/>
                <w:rFonts w:cs="Arial"/>
                <w:bCs/>
                <w:sz w:val="20"/>
                <w:szCs w:val="20"/>
              </w:rPr>
            </w:pPr>
          </w:p>
        </w:tc>
        <w:tc>
          <w:tcPr>
            <w:tcW w:w="1260" w:type="dxa"/>
            <w:vMerge/>
            <w:tcBorders>
              <w:left w:val="nil"/>
              <w:bottom w:val="single" w:sz="8" w:space="0" w:color="auto"/>
              <w:right w:val="single" w:sz="8" w:space="0" w:color="auto"/>
            </w:tcBorders>
            <w:noWrap/>
            <w:tcMar>
              <w:top w:w="0" w:type="dxa"/>
              <w:left w:w="108" w:type="dxa"/>
              <w:bottom w:w="0" w:type="dxa"/>
              <w:right w:w="108" w:type="dxa"/>
            </w:tcMar>
            <w:vAlign w:val="bottom"/>
          </w:tcPr>
          <w:p w:rsidR="008C6C44" w:rsidRPr="00334498" w:rsidRDefault="008C6C44" w:rsidP="00AF655E">
            <w:pPr>
              <w:pStyle w:val="ListParagraph"/>
              <w:ind w:left="788"/>
              <w:jc w:val="center"/>
              <w:rPr>
                <w:rStyle w:val="Heading12"/>
                <w:rFonts w:cs="Arial"/>
                <w:bCs/>
                <w:sz w:val="20"/>
                <w:szCs w:val="20"/>
              </w:rPr>
            </w:pPr>
          </w:p>
        </w:tc>
        <w:tc>
          <w:tcPr>
            <w:tcW w:w="3799" w:type="dxa"/>
            <w:vMerge/>
            <w:tcBorders>
              <w:left w:val="nil"/>
              <w:bottom w:val="single" w:sz="8" w:space="0" w:color="auto"/>
              <w:right w:val="single" w:sz="8" w:space="0" w:color="auto"/>
            </w:tcBorders>
            <w:tcMar>
              <w:top w:w="0" w:type="dxa"/>
              <w:left w:w="108" w:type="dxa"/>
              <w:bottom w:w="0" w:type="dxa"/>
              <w:right w:w="108" w:type="dxa"/>
            </w:tcMar>
            <w:vAlign w:val="bottom"/>
          </w:tcPr>
          <w:p w:rsidR="008C6C44" w:rsidRPr="00334498" w:rsidRDefault="008C6C44" w:rsidP="00AF655E">
            <w:pPr>
              <w:pStyle w:val="ListParagraph"/>
              <w:ind w:left="788"/>
              <w:rPr>
                <w:rStyle w:val="Heading12"/>
                <w:rFonts w:cs="Arial"/>
                <w:bCs/>
                <w:sz w:val="20"/>
                <w:szCs w:val="20"/>
              </w:rPr>
            </w:pPr>
          </w:p>
        </w:tc>
      </w:tr>
      <w:tr w:rsidR="008C6C44" w:rsidRPr="00334498" w:rsidTr="00AF655E">
        <w:trPr>
          <w:trHeight w:val="252"/>
        </w:trPr>
        <w:tc>
          <w:tcPr>
            <w:tcW w:w="4427"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rsidR="008C6C44" w:rsidRPr="00334498" w:rsidRDefault="008C6C44" w:rsidP="00AF655E">
            <w:pPr>
              <w:pStyle w:val="ListParagraph"/>
              <w:ind w:left="788"/>
              <w:rPr>
                <w:rStyle w:val="Heading12"/>
                <w:rFonts w:cs="Arial"/>
                <w:bCs/>
                <w:sz w:val="20"/>
                <w:szCs w:val="20"/>
              </w:rPr>
            </w:pPr>
          </w:p>
        </w:tc>
        <w:tc>
          <w:tcPr>
            <w:tcW w:w="1260" w:type="dxa"/>
            <w:vMerge w:val="restart"/>
            <w:tcBorders>
              <w:top w:val="single" w:sz="8" w:space="0" w:color="auto"/>
              <w:left w:val="single" w:sz="4" w:space="0" w:color="auto"/>
              <w:right w:val="single" w:sz="8" w:space="0" w:color="auto"/>
            </w:tcBorders>
            <w:noWrap/>
            <w:tcMar>
              <w:top w:w="0" w:type="dxa"/>
              <w:left w:w="108" w:type="dxa"/>
              <w:bottom w:w="0" w:type="dxa"/>
              <w:right w:w="108" w:type="dxa"/>
            </w:tcMar>
            <w:vAlign w:val="bottom"/>
          </w:tcPr>
          <w:p w:rsidR="008C6C44" w:rsidRPr="00FA4DC9" w:rsidRDefault="008C6C44" w:rsidP="00AF655E">
            <w:pPr>
              <w:jc w:val="center"/>
              <w:rPr>
                <w:rStyle w:val="Heading12"/>
                <w:rFonts w:cs="Arial"/>
                <w:bCs/>
                <w:sz w:val="20"/>
                <w:szCs w:val="20"/>
              </w:rPr>
            </w:pPr>
            <w:r w:rsidRPr="00FA4DC9">
              <w:rPr>
                <w:rStyle w:val="Heading12"/>
                <w:rFonts w:cs="Arial"/>
                <w:bCs/>
                <w:sz w:val="20"/>
                <w:szCs w:val="20"/>
              </w:rPr>
              <w:t>50%</w:t>
            </w:r>
          </w:p>
        </w:tc>
        <w:tc>
          <w:tcPr>
            <w:tcW w:w="3799" w:type="dxa"/>
            <w:vMerge w:val="restart"/>
            <w:tcBorders>
              <w:top w:val="single" w:sz="8" w:space="0" w:color="auto"/>
              <w:left w:val="nil"/>
              <w:right w:val="single" w:sz="8" w:space="0" w:color="auto"/>
            </w:tcBorders>
            <w:tcMar>
              <w:top w:w="0" w:type="dxa"/>
              <w:left w:w="108" w:type="dxa"/>
              <w:bottom w:w="0" w:type="dxa"/>
              <w:right w:w="108" w:type="dxa"/>
            </w:tcMar>
            <w:vAlign w:val="bottom"/>
          </w:tcPr>
          <w:p w:rsidR="008C6C44" w:rsidRPr="00334498" w:rsidRDefault="008C6C44" w:rsidP="00AF655E">
            <w:pPr>
              <w:pStyle w:val="ListParagraph"/>
              <w:ind w:left="788"/>
              <w:rPr>
                <w:rStyle w:val="Heading12"/>
                <w:rFonts w:cs="Arial"/>
                <w:bCs/>
                <w:sz w:val="20"/>
                <w:szCs w:val="20"/>
              </w:rPr>
            </w:pPr>
          </w:p>
        </w:tc>
      </w:tr>
      <w:tr w:rsidR="008C6C44" w:rsidRPr="00334498" w:rsidTr="00AF655E">
        <w:trPr>
          <w:trHeight w:val="251"/>
        </w:trPr>
        <w:tc>
          <w:tcPr>
            <w:tcW w:w="4427"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8C6C44" w:rsidRPr="00334498" w:rsidRDefault="008C6C44" w:rsidP="00AF655E">
            <w:pPr>
              <w:rPr>
                <w:rStyle w:val="Heading12"/>
                <w:rFonts w:cs="Arial"/>
                <w:bCs/>
                <w:sz w:val="20"/>
                <w:szCs w:val="20"/>
              </w:rPr>
            </w:pPr>
            <w:r w:rsidRPr="00334498">
              <w:rPr>
                <w:rStyle w:val="Heading12"/>
                <w:rFonts w:cs="Arial"/>
                <w:bCs/>
                <w:sz w:val="20"/>
                <w:szCs w:val="20"/>
              </w:rPr>
              <w:t>Threshold</w:t>
            </w:r>
          </w:p>
        </w:tc>
        <w:tc>
          <w:tcPr>
            <w:tcW w:w="1260" w:type="dxa"/>
            <w:vMerge/>
            <w:tcBorders>
              <w:left w:val="single" w:sz="4" w:space="0" w:color="auto"/>
              <w:bottom w:val="single" w:sz="8" w:space="0" w:color="auto"/>
              <w:right w:val="single" w:sz="8" w:space="0" w:color="auto"/>
            </w:tcBorders>
            <w:noWrap/>
            <w:tcMar>
              <w:top w:w="0" w:type="dxa"/>
              <w:left w:w="108" w:type="dxa"/>
              <w:bottom w:w="0" w:type="dxa"/>
              <w:right w:w="108" w:type="dxa"/>
            </w:tcMar>
            <w:vAlign w:val="bottom"/>
          </w:tcPr>
          <w:p w:rsidR="008C6C44" w:rsidRPr="00334498" w:rsidRDefault="008C6C44" w:rsidP="00AF655E">
            <w:pPr>
              <w:pStyle w:val="ListParagraph"/>
              <w:ind w:left="788"/>
              <w:jc w:val="center"/>
              <w:rPr>
                <w:rStyle w:val="Heading12"/>
                <w:rFonts w:cs="Arial"/>
                <w:bCs/>
                <w:sz w:val="20"/>
                <w:szCs w:val="20"/>
              </w:rPr>
            </w:pPr>
          </w:p>
        </w:tc>
        <w:tc>
          <w:tcPr>
            <w:tcW w:w="3799" w:type="dxa"/>
            <w:vMerge/>
            <w:tcBorders>
              <w:left w:val="nil"/>
              <w:bottom w:val="single" w:sz="4" w:space="0" w:color="auto"/>
              <w:right w:val="single" w:sz="8" w:space="0" w:color="auto"/>
            </w:tcBorders>
            <w:tcMar>
              <w:top w:w="0" w:type="dxa"/>
              <w:left w:w="108" w:type="dxa"/>
              <w:bottom w:w="0" w:type="dxa"/>
              <w:right w:w="108" w:type="dxa"/>
            </w:tcMar>
            <w:vAlign w:val="bottom"/>
          </w:tcPr>
          <w:p w:rsidR="008C6C44" w:rsidRPr="00334498" w:rsidRDefault="008C6C44" w:rsidP="00AF655E">
            <w:pPr>
              <w:pStyle w:val="ListParagraph"/>
              <w:ind w:left="788"/>
              <w:rPr>
                <w:rStyle w:val="Heading12"/>
                <w:rFonts w:cs="Arial"/>
                <w:bCs/>
                <w:sz w:val="20"/>
                <w:szCs w:val="20"/>
              </w:rPr>
            </w:pPr>
          </w:p>
        </w:tc>
      </w:tr>
      <w:bookmarkEnd w:id="15"/>
    </w:tbl>
    <w:p w:rsidR="008C6C44" w:rsidRDefault="008C6C44" w:rsidP="008C6C44">
      <w:pPr>
        <w:ind w:right="-142"/>
        <w:jc w:val="both"/>
        <w:rPr>
          <w:rFonts w:ascii="Calibri" w:hAnsi="Calibri" w:cs="Arial"/>
          <w:b/>
          <w:bCs/>
          <w:sz w:val="20"/>
          <w:szCs w:val="20"/>
        </w:rPr>
      </w:pPr>
    </w:p>
    <w:p w:rsidR="008C6C44" w:rsidRPr="00977961" w:rsidRDefault="008C6C44" w:rsidP="008C6C44">
      <w:pPr>
        <w:ind w:right="-142"/>
        <w:jc w:val="both"/>
        <w:rPr>
          <w:rFonts w:ascii="Calibri" w:hAnsi="Calibri" w:cs="Arial"/>
          <w:b/>
          <w:bCs/>
          <w:sz w:val="20"/>
          <w:szCs w:val="20"/>
        </w:rPr>
      </w:pPr>
    </w:p>
    <w:p w:rsidR="008C6C44" w:rsidRPr="000D4FB2" w:rsidRDefault="008C6C44" w:rsidP="008C6C44">
      <w:pPr>
        <w:numPr>
          <w:ilvl w:val="0"/>
          <w:numId w:val="39"/>
        </w:numPr>
        <w:tabs>
          <w:tab w:val="left" w:pos="720"/>
        </w:tabs>
        <w:suppressAutoHyphens/>
        <w:spacing w:line="360" w:lineRule="auto"/>
        <w:ind w:right="-142"/>
        <w:jc w:val="both"/>
        <w:rPr>
          <w:rFonts w:ascii="Calibri" w:hAnsi="Calibri" w:cs="Arial"/>
          <w:b/>
          <w:sz w:val="20"/>
          <w:szCs w:val="20"/>
          <w:lang w:val="en-GB"/>
        </w:rPr>
      </w:pPr>
      <w:r w:rsidRPr="000D4FB2">
        <w:rPr>
          <w:rFonts w:ascii="Calibri" w:hAnsi="Calibri" w:cs="Arial"/>
          <w:b/>
          <w:sz w:val="20"/>
          <w:szCs w:val="20"/>
          <w:lang w:val="en-GB"/>
        </w:rPr>
        <w:t>MANDATORY REQUIREMENTS</w:t>
      </w:r>
    </w:p>
    <w:p w:rsidR="008C6C44" w:rsidRPr="00AE2100" w:rsidRDefault="008C6C44" w:rsidP="008C6C44">
      <w:pPr>
        <w:ind w:right="-142"/>
        <w:jc w:val="both"/>
        <w:rPr>
          <w:rFonts w:ascii="Calibri" w:hAnsi="Calibri" w:cs="Arial"/>
          <w:b/>
          <w:bCs/>
          <w:sz w:val="20"/>
          <w:szCs w:val="20"/>
        </w:rPr>
      </w:pPr>
    </w:p>
    <w:p w:rsidR="008C6C44" w:rsidRPr="00AE2100" w:rsidRDefault="008C6C44" w:rsidP="008C6C44">
      <w:pPr>
        <w:spacing w:line="360" w:lineRule="auto"/>
        <w:ind w:left="851"/>
        <w:jc w:val="both"/>
        <w:rPr>
          <w:rFonts w:ascii="Calibri" w:hAnsi="Calibri" w:cs="Arial"/>
          <w:b/>
          <w:sz w:val="20"/>
          <w:szCs w:val="20"/>
        </w:rPr>
      </w:pPr>
      <w:r w:rsidRPr="00AE2100">
        <w:rPr>
          <w:rFonts w:ascii="Calibri" w:hAnsi="Calibri" w:cs="Arial"/>
          <w:b/>
          <w:sz w:val="20"/>
          <w:szCs w:val="20"/>
          <w:lang w:val="en-GB"/>
        </w:rPr>
        <w:t xml:space="preserve"> </w:t>
      </w:r>
      <w:r w:rsidRPr="00AE2100">
        <w:rPr>
          <w:rFonts w:ascii="Calibri" w:hAnsi="Calibri" w:cs="Arial"/>
          <w:b/>
          <w:sz w:val="20"/>
          <w:szCs w:val="20"/>
        </w:rPr>
        <w:t>If a bidder does not comply fully with each of the mandatory requir</w:t>
      </w:r>
      <w:r>
        <w:rPr>
          <w:rFonts w:ascii="Calibri" w:hAnsi="Calibri" w:cs="Arial"/>
          <w:b/>
          <w:sz w:val="20"/>
          <w:szCs w:val="20"/>
        </w:rPr>
        <w:t xml:space="preserve">ements, it Shall be regarded as </w:t>
      </w:r>
      <w:r w:rsidRPr="00AE2100">
        <w:rPr>
          <w:rFonts w:ascii="Calibri" w:hAnsi="Calibri" w:cs="Arial"/>
          <w:b/>
          <w:sz w:val="20"/>
          <w:szCs w:val="20"/>
        </w:rPr>
        <w:t>mandatory non-performance/non-compliance and the bid Shall be disqualified. No “unanswered” questions will be allowed. If a response to a question has been indicated as comply but not elaborated upon or substantiated it shall be regarded as mandatory non- performance/non-compliance and the bid shall be disqualified.</w:t>
      </w:r>
    </w:p>
    <w:p w:rsidR="008C6C44" w:rsidRPr="00AE2100" w:rsidRDefault="008C6C44" w:rsidP="008C6C44">
      <w:pPr>
        <w:spacing w:line="360" w:lineRule="auto"/>
        <w:ind w:left="851"/>
        <w:jc w:val="both"/>
        <w:rPr>
          <w:rFonts w:ascii="Calibri" w:hAnsi="Calibri" w:cs="Arial"/>
          <w:b/>
          <w:sz w:val="20"/>
          <w:szCs w:val="20"/>
        </w:rPr>
      </w:pPr>
    </w:p>
    <w:p w:rsidR="008C6C44" w:rsidRDefault="008C6C44" w:rsidP="008C6C44">
      <w:pPr>
        <w:spacing w:line="360" w:lineRule="auto"/>
        <w:ind w:left="851"/>
        <w:jc w:val="both"/>
        <w:rPr>
          <w:rFonts w:ascii="Calibri" w:hAnsi="Calibri" w:cs="Arial"/>
          <w:color w:val="000080"/>
          <w:sz w:val="20"/>
          <w:szCs w:val="20"/>
        </w:rPr>
      </w:pPr>
      <w:r w:rsidRPr="00AE2100">
        <w:rPr>
          <w:rFonts w:ascii="Calibri" w:hAnsi="Calibri" w:cs="Arial"/>
          <w:b/>
          <w:sz w:val="20"/>
          <w:szCs w:val="20"/>
        </w:rPr>
        <w:t>Bidders shall provide full and accurate answers to the mandatory questions posed in this document, and, where required, explicitly state either “Comply/Accept (with a “Yes”)” or “Do not comply/do not accept (with a “No”)” regarding</w:t>
      </w:r>
      <w:r w:rsidRPr="00AE2100">
        <w:rPr>
          <w:rFonts w:ascii="Calibri" w:hAnsi="Calibri" w:cs="Arial"/>
          <w:b/>
          <w:bCs/>
          <w:sz w:val="20"/>
          <w:szCs w:val="20"/>
        </w:rPr>
        <w:t xml:space="preserve"> compliance to the requirements. Bidders must substantiate their responses to all mandatory questions</w:t>
      </w:r>
      <w:r w:rsidRPr="00AE2100">
        <w:rPr>
          <w:rFonts w:ascii="Calibri" w:hAnsi="Calibri" w:cs="Arial"/>
          <w:sz w:val="20"/>
          <w:szCs w:val="20"/>
        </w:rPr>
        <w:t xml:space="preserve">. </w:t>
      </w:r>
      <w:r w:rsidRPr="00AE2100">
        <w:rPr>
          <w:rFonts w:ascii="Calibri" w:hAnsi="Calibri" w:cs="Arial"/>
          <w:b/>
          <w:sz w:val="20"/>
          <w:szCs w:val="20"/>
        </w:rPr>
        <w:t xml:space="preserve">PLEASE NOTE: If the response does not substantiate any of the points or requirements in the body of the tender, it will be deemed to not comply, even if the ‘Comply’ field has been marked. Costs for evaluation studies in each laboratory will be paid by the supplier. Commissioning of all </w:t>
      </w:r>
      <w:proofErr w:type="spellStart"/>
      <w:r w:rsidRPr="00AE2100">
        <w:rPr>
          <w:rFonts w:ascii="Calibri" w:hAnsi="Calibri" w:cs="Arial"/>
          <w:b/>
          <w:sz w:val="20"/>
          <w:szCs w:val="20"/>
        </w:rPr>
        <w:t>analysers</w:t>
      </w:r>
      <w:proofErr w:type="spellEnd"/>
      <w:r w:rsidRPr="00AE2100">
        <w:rPr>
          <w:rFonts w:ascii="Calibri" w:hAnsi="Calibri" w:cs="Arial"/>
          <w:b/>
          <w:sz w:val="20"/>
          <w:szCs w:val="20"/>
        </w:rPr>
        <w:t xml:space="preserve"> (where contracts have expired) has to be completed within 6 months from issuing of order/addendum. Direct Material: cost ratio of not more than 10%. Please note:  All documentation to substantiate the mandatory requirements has to be supplied.</w:t>
      </w:r>
    </w:p>
    <w:p w:rsidR="008C6C44" w:rsidRDefault="008C6C44" w:rsidP="008C6C44">
      <w:pPr>
        <w:spacing w:line="360" w:lineRule="auto"/>
        <w:rPr>
          <w:rFonts w:ascii="Calibri" w:hAnsi="Calibri" w:cs="Arial"/>
          <w:color w:val="000080"/>
          <w:sz w:val="20"/>
          <w:szCs w:val="20"/>
        </w:rPr>
      </w:pPr>
    </w:p>
    <w:p w:rsidR="00E36C84" w:rsidRDefault="00E36C84" w:rsidP="008C6C44">
      <w:pPr>
        <w:spacing w:line="360" w:lineRule="auto"/>
        <w:rPr>
          <w:rFonts w:ascii="Calibri" w:hAnsi="Calibri" w:cs="Arial"/>
          <w:color w:val="000080"/>
          <w:sz w:val="20"/>
          <w:szCs w:val="20"/>
        </w:rPr>
      </w:pPr>
    </w:p>
    <w:p w:rsidR="00E36C84" w:rsidRDefault="00E36C84" w:rsidP="008C6C44">
      <w:pPr>
        <w:spacing w:line="360" w:lineRule="auto"/>
        <w:rPr>
          <w:rFonts w:ascii="Calibri" w:hAnsi="Calibri" w:cs="Arial"/>
          <w:color w:val="000080"/>
          <w:sz w:val="20"/>
          <w:szCs w:val="20"/>
        </w:rPr>
      </w:pPr>
    </w:p>
    <w:p w:rsidR="00E36C84" w:rsidRDefault="00E36C84" w:rsidP="008C6C44">
      <w:pPr>
        <w:spacing w:line="360" w:lineRule="auto"/>
        <w:rPr>
          <w:rFonts w:ascii="Calibri" w:hAnsi="Calibri" w:cs="Arial"/>
          <w:color w:val="000080"/>
          <w:sz w:val="20"/>
          <w:szCs w:val="20"/>
        </w:rPr>
      </w:pPr>
    </w:p>
    <w:p w:rsidR="008C6C44" w:rsidRDefault="008C6C44" w:rsidP="008C6C44">
      <w:pPr>
        <w:spacing w:line="360" w:lineRule="auto"/>
        <w:rPr>
          <w:rFonts w:ascii="Calibri" w:hAnsi="Calibri" w:cs="Arial"/>
          <w:color w:val="000080"/>
          <w:sz w:val="20"/>
          <w:szCs w:val="20"/>
        </w:rPr>
      </w:pPr>
      <w:r w:rsidRPr="00977961">
        <w:rPr>
          <w:rFonts w:ascii="Calibri" w:hAnsi="Calibri" w:cs="Arial"/>
          <w:color w:val="000080"/>
          <w:sz w:val="20"/>
          <w:szCs w:val="20"/>
        </w:rPr>
        <w:t>Pricing Schedule</w:t>
      </w:r>
    </w:p>
    <w:p w:rsidR="008C6C44" w:rsidRPr="00977961" w:rsidRDefault="008C6C44" w:rsidP="008C6C44">
      <w:pPr>
        <w:spacing w:line="360" w:lineRule="auto"/>
        <w:rPr>
          <w:rFonts w:ascii="Calibri" w:hAnsi="Calibri" w:cs="Arial"/>
          <w:sz w:val="20"/>
          <w:szCs w:val="20"/>
        </w:rPr>
      </w:pPr>
    </w:p>
    <w:p w:rsidR="008C6C44" w:rsidRPr="00977961" w:rsidRDefault="008C6C44" w:rsidP="008C6C44">
      <w:pPr>
        <w:numPr>
          <w:ilvl w:val="0"/>
          <w:numId w:val="38"/>
        </w:numPr>
        <w:tabs>
          <w:tab w:val="left" w:pos="720"/>
        </w:tabs>
        <w:suppressAutoHyphens/>
        <w:spacing w:line="360" w:lineRule="auto"/>
        <w:ind w:left="720" w:hanging="720"/>
        <w:jc w:val="both"/>
        <w:rPr>
          <w:rFonts w:ascii="Calibri" w:hAnsi="Calibri" w:cs="Arial"/>
          <w:b/>
          <w:sz w:val="20"/>
          <w:szCs w:val="20"/>
        </w:rPr>
      </w:pPr>
      <w:r w:rsidRPr="00977961">
        <w:rPr>
          <w:rFonts w:ascii="Calibri" w:hAnsi="Calibri" w:cs="Arial"/>
          <w:sz w:val="20"/>
          <w:szCs w:val="20"/>
        </w:rPr>
        <w:t xml:space="preserve">Please indicate your total bid price here: R…………………………… </w:t>
      </w:r>
      <w:r w:rsidRPr="00977961">
        <w:rPr>
          <w:rFonts w:ascii="Calibri" w:hAnsi="Calibri" w:cs="Arial"/>
          <w:b/>
          <w:sz w:val="20"/>
          <w:szCs w:val="20"/>
        </w:rPr>
        <w:t>(compulsory), as per below</w:t>
      </w:r>
    </w:p>
    <w:p w:rsidR="008C6C44" w:rsidRPr="00977961" w:rsidRDefault="008C6C44" w:rsidP="008C6C44">
      <w:pPr>
        <w:numPr>
          <w:ilvl w:val="0"/>
          <w:numId w:val="38"/>
        </w:numPr>
        <w:tabs>
          <w:tab w:val="left" w:pos="720"/>
        </w:tabs>
        <w:suppressAutoHyphens/>
        <w:spacing w:line="360" w:lineRule="auto"/>
        <w:ind w:left="720" w:hanging="720"/>
        <w:jc w:val="both"/>
        <w:rPr>
          <w:rFonts w:ascii="Calibri" w:hAnsi="Calibri" w:cs="Arial"/>
          <w:b/>
          <w:sz w:val="20"/>
          <w:szCs w:val="20"/>
        </w:rPr>
      </w:pPr>
      <w:r w:rsidRPr="00977961">
        <w:rPr>
          <w:rFonts w:ascii="Calibri" w:hAnsi="Calibri" w:cs="Arial"/>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w:t>
      </w:r>
      <w:proofErr w:type="gramStart"/>
      <w:r w:rsidRPr="00977961">
        <w:rPr>
          <w:rFonts w:ascii="Calibri" w:hAnsi="Calibri" w:cs="Arial"/>
          <w:b/>
          <w:sz w:val="20"/>
          <w:szCs w:val="20"/>
        </w:rPr>
        <w:t>price</w:t>
      </w:r>
      <w:r>
        <w:rPr>
          <w:rFonts w:ascii="Calibri" w:hAnsi="Calibri" w:cs="Arial"/>
          <w:b/>
          <w:sz w:val="20"/>
          <w:szCs w:val="20"/>
        </w:rPr>
        <w:t>.</w:t>
      </w:r>
      <w:proofErr w:type="gramEnd"/>
      <w:r w:rsidRPr="00977961">
        <w:rPr>
          <w:rFonts w:ascii="Calibri" w:hAnsi="Calibri" w:cs="Arial"/>
          <w:b/>
          <w:sz w:val="20"/>
          <w:szCs w:val="20"/>
        </w:rPr>
        <w:t xml:space="preserve"> </w:t>
      </w:r>
    </w:p>
    <w:p w:rsidR="008C6C44" w:rsidRPr="00BA65D3" w:rsidRDefault="008C6C44" w:rsidP="008C6C44">
      <w:pPr>
        <w:numPr>
          <w:ilvl w:val="0"/>
          <w:numId w:val="38"/>
        </w:numPr>
        <w:tabs>
          <w:tab w:val="left" w:pos="720"/>
        </w:tabs>
        <w:suppressAutoHyphens/>
        <w:spacing w:line="360" w:lineRule="auto"/>
        <w:ind w:left="720" w:hanging="720"/>
        <w:jc w:val="both"/>
        <w:rPr>
          <w:rFonts w:ascii="Calibri" w:hAnsi="Calibri" w:cs="Arial"/>
          <w:sz w:val="20"/>
          <w:szCs w:val="20"/>
        </w:rPr>
      </w:pPr>
      <w:r w:rsidRPr="00BA65D3">
        <w:rPr>
          <w:rFonts w:ascii="Calibri" w:hAnsi="Calibri" w:cs="Arial"/>
          <w:b/>
          <w:sz w:val="20"/>
          <w:szCs w:val="20"/>
        </w:rPr>
        <w:t>NOTE – All prices must be VAT exclusive and must be quoted in South African Rand (ZAR).</w:t>
      </w:r>
    </w:p>
    <w:p w:rsidR="008C6C44" w:rsidRPr="00977961" w:rsidRDefault="008C6C44" w:rsidP="008C6C44">
      <w:pPr>
        <w:numPr>
          <w:ilvl w:val="0"/>
          <w:numId w:val="38"/>
        </w:numPr>
        <w:tabs>
          <w:tab w:val="left" w:pos="720"/>
        </w:tabs>
        <w:suppressAutoHyphens/>
        <w:spacing w:line="360" w:lineRule="auto"/>
        <w:ind w:left="720" w:hanging="720"/>
        <w:jc w:val="both"/>
        <w:rPr>
          <w:rFonts w:ascii="Calibri" w:hAnsi="Calibri" w:cs="Arial"/>
          <w:b/>
          <w:bCs/>
          <w:sz w:val="20"/>
          <w:szCs w:val="20"/>
        </w:rPr>
      </w:pPr>
      <w:r w:rsidRPr="00977961">
        <w:rPr>
          <w:rFonts w:ascii="Calibri" w:hAnsi="Calibri" w:cs="Arial"/>
          <w:sz w:val="20"/>
          <w:szCs w:val="20"/>
        </w:rPr>
        <w:t xml:space="preserve"> All prices must be firm and fixed from the tender closing date and for the duration of the contract</w:t>
      </w:r>
    </w:p>
    <w:p w:rsidR="008C6C44" w:rsidRPr="00977961" w:rsidRDefault="008C6C44" w:rsidP="008C6C44">
      <w:pPr>
        <w:numPr>
          <w:ilvl w:val="0"/>
          <w:numId w:val="38"/>
        </w:numPr>
        <w:tabs>
          <w:tab w:val="left" w:pos="720"/>
        </w:tabs>
        <w:suppressAutoHyphens/>
        <w:spacing w:line="360" w:lineRule="auto"/>
        <w:ind w:left="720" w:hanging="720"/>
        <w:jc w:val="both"/>
        <w:rPr>
          <w:rFonts w:ascii="Calibri" w:hAnsi="Calibri" w:cs="Arial"/>
          <w:sz w:val="20"/>
          <w:szCs w:val="20"/>
        </w:rPr>
      </w:pPr>
      <w:r w:rsidRPr="00977961">
        <w:rPr>
          <w:rFonts w:ascii="Calibri" w:hAnsi="Calibri" w:cs="Arial"/>
          <w:b/>
          <w:bCs/>
          <w:sz w:val="20"/>
          <w:szCs w:val="20"/>
        </w:rPr>
        <w:t xml:space="preserve">NOTE – </w:t>
      </w:r>
      <w:r w:rsidRPr="00977961">
        <w:rPr>
          <w:rFonts w:ascii="Calibri" w:hAnsi="Calibri" w:cs="Arial"/>
          <w:bCs/>
          <w:sz w:val="20"/>
          <w:szCs w:val="20"/>
        </w:rPr>
        <w:t>A</w:t>
      </w:r>
      <w:r w:rsidRPr="00977961">
        <w:rPr>
          <w:rFonts w:ascii="Calibri" w:hAnsi="Calibri" w:cs="Arial"/>
          <w:sz w:val="20"/>
          <w:szCs w:val="20"/>
        </w:rPr>
        <w:t>ll the consortium or joint venture partners must submit a complete set of the latest audited financial statements.</w:t>
      </w:r>
    </w:p>
    <w:p w:rsidR="008C6C44" w:rsidRDefault="008C6C44" w:rsidP="008C6C44">
      <w:pPr>
        <w:numPr>
          <w:ilvl w:val="0"/>
          <w:numId w:val="38"/>
        </w:numPr>
        <w:tabs>
          <w:tab w:val="left" w:pos="720"/>
        </w:tabs>
        <w:suppressAutoHyphens/>
        <w:spacing w:line="360" w:lineRule="auto"/>
        <w:ind w:left="720" w:hanging="720"/>
        <w:jc w:val="both"/>
        <w:rPr>
          <w:rFonts w:ascii="Calibri" w:hAnsi="Calibri" w:cs="Arial"/>
          <w:sz w:val="20"/>
          <w:szCs w:val="20"/>
        </w:rPr>
      </w:pPr>
      <w:r w:rsidRPr="00977961">
        <w:rPr>
          <w:rFonts w:ascii="Calibri" w:hAnsi="Calibri" w:cs="Arial"/>
          <w:b/>
          <w:bCs/>
          <w:sz w:val="20"/>
          <w:szCs w:val="20"/>
        </w:rPr>
        <w:t>Note –</w:t>
      </w:r>
      <w:r w:rsidRPr="00977961">
        <w:rPr>
          <w:rFonts w:ascii="Calibri" w:hAnsi="Calibri" w:cs="Arial"/>
          <w:sz w:val="20"/>
          <w:szCs w:val="20"/>
        </w:rPr>
        <w:t xml:space="preserve"> All bidders must cost according to the costing template provided or this will lead to disqualification.</w:t>
      </w:r>
    </w:p>
    <w:p w:rsidR="008C6C44" w:rsidRDefault="008C6C44" w:rsidP="00430220">
      <w:pPr>
        <w:spacing w:after="120"/>
        <w:jc w:val="both"/>
        <w:rPr>
          <w:rFonts w:ascii="Arial Narrow" w:hAnsi="Arial Narrow" w:cs="Calibri"/>
          <w:sz w:val="20"/>
          <w:szCs w:val="20"/>
        </w:rPr>
      </w:pPr>
    </w:p>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008C6C44">
        <w:rPr>
          <w:rFonts w:ascii="Arial Narrow" w:hAnsi="Arial Narrow"/>
          <w:b/>
          <w:color w:val="000000" w:themeColor="text1"/>
        </w:rPr>
        <w:t>50</w:t>
      </w:r>
      <w:r w:rsidRPr="002934E2">
        <w:rPr>
          <w:rFonts w:ascii="Arial Narrow" w:hAnsi="Arial Narrow"/>
          <w:b/>
        </w:rPr>
        <w:t>.</w:t>
      </w:r>
    </w:p>
    <w:p w:rsidR="00944506"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B1503D" w:rsidRPr="00E73233" w:rsidRDefault="00B1503D" w:rsidP="00E7323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E73233" w:rsidRDefault="00E73233"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E73233" w:rsidRDefault="00E73233"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944506" w:rsidRDefault="00430220" w:rsidP="00944506">
            <w:pPr>
              <w:pStyle w:val="ListParagraph"/>
              <w:numPr>
                <w:ilvl w:val="0"/>
                <w:numId w:val="23"/>
              </w:numPr>
              <w:spacing w:line="360" w:lineRule="auto"/>
              <w:rPr>
                <w:rFonts w:ascii="Arial Narrow" w:hAnsi="Arial Narrow" w:cs="Calibri"/>
                <w:lang w:val="en-ZA"/>
              </w:rPr>
            </w:pPr>
            <w:r w:rsidRPr="00944506">
              <w:rPr>
                <w:rFonts w:ascii="Arial Narrow" w:hAnsi="Arial Narrow" w:cs="Calibri"/>
                <w:lang w:val="en-ZA"/>
              </w:rPr>
              <w:t>Fully completed and signed Declar</w:t>
            </w:r>
            <w:r w:rsidR="00B00871">
              <w:rPr>
                <w:rFonts w:ascii="Arial Narrow" w:hAnsi="Arial Narrow" w:cs="Calibri"/>
                <w:lang w:val="en-ZA"/>
              </w:rPr>
              <w:t>ation of Interest SBD 4,</w:t>
            </w:r>
            <w:r w:rsidRPr="00944506">
              <w:rPr>
                <w:rFonts w:ascii="Arial Narrow" w:hAnsi="Arial Narrow" w:cs="Calibri"/>
                <w:lang w:val="en-ZA"/>
              </w:rPr>
              <w:t xml:space="preserve"> and SBD 6.2 including Annexure B </w:t>
            </w:r>
            <w:r w:rsidR="00944506" w:rsidRPr="00944506">
              <w:rPr>
                <w:rFonts w:ascii="Arial Narrow" w:hAnsi="Arial Narrow" w:cs="Calibri"/>
                <w:lang w:val="en-ZA"/>
              </w:rPr>
              <w:t>and C.</w:t>
            </w:r>
            <w:r w:rsidR="00944506" w:rsidRPr="00944506">
              <w:rPr>
                <w:rFonts w:ascii="Arial Narrow" w:hAnsi="Arial Narrow" w:cs="Calibri"/>
                <w:b/>
                <w:color w:val="FF0000"/>
                <w:lang w:val="en-ZA"/>
              </w:rPr>
              <w:t xml:space="preserve"> If Applicable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14473C">
              <w:rPr>
                <w:rFonts w:ascii="Arial Narrow" w:hAnsi="Arial Narrow" w:cs="Calibri"/>
                <w:b/>
                <w:lang w:val="en-ZA"/>
              </w:rPr>
              <w:t>, SBD 6.2</w:t>
            </w:r>
            <w:r w:rsidR="006109AF">
              <w:rPr>
                <w:rFonts w:ascii="Arial Narrow" w:hAnsi="Arial Narrow" w:cs="Calibri"/>
                <w:b/>
                <w:lang w:val="en-ZA"/>
              </w:rPr>
              <w:t xml:space="preserve"> i</w:t>
            </w:r>
            <w:r>
              <w:rPr>
                <w:rFonts w:ascii="Arial Narrow" w:hAnsi="Arial Narrow" w:cs="Calibri"/>
                <w:b/>
                <w:lang w:val="en-ZA"/>
              </w:rPr>
              <w:t>ncluding Annexure B and C.</w:t>
            </w:r>
            <w:r w:rsidR="006109AF" w:rsidRPr="00B00871">
              <w:rPr>
                <w:rFonts w:ascii="Arial Narrow" w:hAnsi="Arial Narrow" w:cs="Calibri"/>
                <w:b/>
                <w:color w:val="FF0000"/>
                <w:lang w:val="en-ZA"/>
              </w:rPr>
              <w:t xml:space="preserve"> if Applicable </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201F33" w:rsidP="00944506">
            <w:pPr>
              <w:spacing w:line="360" w:lineRule="auto"/>
              <w:rPr>
                <w:rFonts w:ascii="Arial Narrow" w:hAnsi="Arial Narrow" w:cs="Calibri"/>
                <w:lang w:val="en-ZA"/>
              </w:rPr>
            </w:pPr>
            <w:r>
              <w:rPr>
                <w:rFonts w:ascii="Arial Narrow" w:hAnsi="Arial Narrow" w:cs="Calibri"/>
                <w:lang w:val="en-ZA"/>
              </w:rPr>
              <w:lastRenderedPageBreak/>
              <w:t>4</w:t>
            </w:r>
            <w:r w:rsidR="00430220" w:rsidRPr="00B81F8B">
              <w:rPr>
                <w:rFonts w:ascii="Arial Narrow" w:hAnsi="Arial Narrow" w:cs="Calibri"/>
                <w:lang w:val="en-ZA"/>
              </w:rPr>
              <w:t xml:space="preserve"> </w:t>
            </w:r>
            <w:r w:rsidR="00430220" w:rsidRPr="0056633D">
              <w:rPr>
                <w:rFonts w:ascii="Arial Narrow" w:hAnsi="Arial Narrow"/>
              </w:rPr>
              <w:t xml:space="preserve">Bidder </w:t>
            </w:r>
            <w:r w:rsidR="00430220" w:rsidRPr="0056633D">
              <w:rPr>
                <w:rFonts w:ascii="Arial Narrow" w:hAnsi="Arial Narrow"/>
                <w:i/>
              </w:rPr>
              <w:t>must</w:t>
            </w:r>
            <w:r w:rsidR="00AD0773">
              <w:rPr>
                <w:rFonts w:ascii="Arial Narrow" w:hAnsi="Arial Narrow"/>
              </w:rPr>
              <w:t xml:space="preserve"> complete the pricing </w:t>
            </w:r>
            <w:r w:rsidR="00430220">
              <w:rPr>
                <w:rFonts w:ascii="Arial Narrow" w:hAnsi="Arial Narrow"/>
              </w:rPr>
              <w:t xml:space="preserve"> Schedule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944506">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 xml:space="preserve">Schedule </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201F33" w:rsidP="00944506">
            <w:pPr>
              <w:spacing w:line="360" w:lineRule="auto"/>
              <w:ind w:left="37"/>
              <w:rPr>
                <w:rFonts w:ascii="Arial Narrow" w:hAnsi="Arial Narrow" w:cs="Calibri"/>
                <w:lang w:val="en-ZA"/>
              </w:rPr>
            </w:pPr>
            <w:r>
              <w:rPr>
                <w:rFonts w:ascii="Arial Narrow" w:hAnsi="Arial Narrow" w:cs="Calibri"/>
                <w:lang w:val="en-ZA"/>
              </w:rPr>
              <w:t>4</w:t>
            </w:r>
            <w:r w:rsidR="00430220" w:rsidRPr="00C50537">
              <w:rPr>
                <w:rFonts w:ascii="Arial Narrow" w:hAnsi="Arial Narrow" w:cs="Calibri"/>
                <w:lang w:val="en-ZA"/>
              </w:rPr>
              <w:t>.</w:t>
            </w:r>
            <w:r w:rsidR="00430220" w:rsidRPr="00B81F8B">
              <w:rPr>
                <w:rFonts w:ascii="Arial Narrow" w:hAnsi="Arial Narrow" w:cs="Calibri"/>
                <w:lang w:val="en-ZA"/>
              </w:rPr>
              <w:t xml:space="preserve"> </w:t>
            </w:r>
            <w:r w:rsidR="00430220" w:rsidRPr="0056633D">
              <w:rPr>
                <w:rFonts w:ascii="Arial Narrow" w:hAnsi="Arial Narrow"/>
              </w:rPr>
              <w:t xml:space="preserve">Bidder </w:t>
            </w:r>
            <w:r w:rsidR="00430220" w:rsidRPr="0056633D">
              <w:rPr>
                <w:rFonts w:ascii="Arial Narrow" w:hAnsi="Arial Narrow"/>
                <w:i/>
              </w:rPr>
              <w:t>must</w:t>
            </w:r>
            <w:r w:rsidR="00430220" w:rsidRPr="0056633D">
              <w:rPr>
                <w:rFonts w:ascii="Arial Narrow" w:hAnsi="Arial Narrow"/>
              </w:rPr>
              <w:t xml:space="preserve"> </w:t>
            </w:r>
            <w:r w:rsidR="00430220">
              <w:rPr>
                <w:rFonts w:ascii="Arial Narrow" w:hAnsi="Arial Narrow"/>
              </w:rPr>
              <w:t>provide registration confirmation with CIDB in terms of the CIDB Act 38 of 2000.</w:t>
            </w:r>
            <w:r w:rsidR="00944506">
              <w:rPr>
                <w:rFonts w:ascii="Arial Narrow" w:hAnsi="Arial Narrow"/>
              </w:rPr>
              <w:t xml:space="preserve"> </w:t>
            </w:r>
            <w:r w:rsidR="00944506" w:rsidRPr="00944506">
              <w:rPr>
                <w:rFonts w:ascii="Arial Narrow" w:hAnsi="Arial Narrow"/>
                <w:color w:val="FF0000"/>
              </w:rPr>
              <w:t xml:space="preserve">If applicable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4"/>
        <w:gridCol w:w="222"/>
        <w:gridCol w:w="222"/>
      </w:tblGrid>
      <w:tr w:rsidR="00430220" w:rsidRPr="00B81F8B" w:rsidTr="0065714E">
        <w:tc>
          <w:tcPr>
            <w:tcW w:w="6521" w:type="dxa"/>
            <w:vMerge w:val="restart"/>
            <w:shd w:val="clear" w:color="auto" w:fill="auto"/>
          </w:tcPr>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6109AF" w:rsidRPr="00B81F8B" w:rsidTr="006109AF">
              <w:tc>
                <w:tcPr>
                  <w:tcW w:w="6521" w:type="dxa"/>
                  <w:vMerge w:val="restart"/>
                  <w:shd w:val="clear" w:color="auto" w:fill="auto"/>
                </w:tcPr>
                <w:p w:rsidR="006109AF" w:rsidRPr="006109AF" w:rsidRDefault="006109AF" w:rsidP="006109AF">
                  <w:pPr>
                    <w:pStyle w:val="ListParagraph"/>
                    <w:numPr>
                      <w:ilvl w:val="0"/>
                      <w:numId w:val="23"/>
                    </w:numPr>
                    <w:spacing w:line="360" w:lineRule="auto"/>
                    <w:rPr>
                      <w:rFonts w:ascii="Arial Narrow" w:hAnsi="Arial Narrow" w:cs="Calibri"/>
                      <w:lang w:val="en-ZA"/>
                    </w:rPr>
                  </w:pPr>
                  <w:r w:rsidRPr="006109AF">
                    <w:rPr>
                      <w:rFonts w:ascii="Arial Narrow" w:hAnsi="Arial Narrow" w:cs="Calibri"/>
                      <w:lang w:val="en-ZA"/>
                    </w:rPr>
                    <w:t>Fully completed and signed RFQ document and initial each page.</w:t>
                  </w:r>
                </w:p>
                <w:p w:rsidR="006109AF" w:rsidRPr="00DF0E9A" w:rsidRDefault="006109AF" w:rsidP="006109AF">
                  <w:pPr>
                    <w:pStyle w:val="ListParagraph"/>
                    <w:spacing w:line="360" w:lineRule="auto"/>
                    <w:ind w:left="502"/>
                    <w:rPr>
                      <w:rFonts w:ascii="Arial Narrow" w:hAnsi="Arial Narrow" w:cs="Calibri"/>
                      <w:lang w:val="en-ZA"/>
                    </w:rPr>
                  </w:pPr>
                </w:p>
              </w:tc>
              <w:tc>
                <w:tcPr>
                  <w:tcW w:w="1043" w:type="dxa"/>
                  <w:shd w:val="clear" w:color="auto" w:fill="FFFFFF"/>
                </w:tcPr>
                <w:p w:rsidR="006109AF" w:rsidRPr="00B81F8B" w:rsidRDefault="006109AF" w:rsidP="006109AF">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6109AF" w:rsidRPr="00B81F8B" w:rsidRDefault="006109AF" w:rsidP="006109AF">
                  <w:pPr>
                    <w:rPr>
                      <w:rFonts w:ascii="Arial Narrow" w:hAnsi="Arial Narrow" w:cs="Calibri"/>
                      <w:b/>
                      <w:lang w:val="en-ZA"/>
                    </w:rPr>
                  </w:pPr>
                  <w:r w:rsidRPr="00B81F8B">
                    <w:rPr>
                      <w:rFonts w:ascii="Arial Narrow" w:hAnsi="Arial Narrow" w:cs="Calibri"/>
                      <w:b/>
                      <w:lang w:val="en-ZA"/>
                    </w:rPr>
                    <w:t>Do Not Comply</w:t>
                  </w:r>
                </w:p>
              </w:tc>
            </w:tr>
            <w:tr w:rsidR="006109AF" w:rsidRPr="00B81F8B" w:rsidTr="006109AF">
              <w:tc>
                <w:tcPr>
                  <w:tcW w:w="6521" w:type="dxa"/>
                  <w:vMerge/>
                  <w:shd w:val="clear" w:color="auto" w:fill="auto"/>
                </w:tcPr>
                <w:p w:rsidR="006109AF" w:rsidRPr="00B81F8B" w:rsidRDefault="006109AF" w:rsidP="006109AF">
                  <w:pPr>
                    <w:rPr>
                      <w:rFonts w:ascii="Arial Narrow" w:hAnsi="Arial Narrow" w:cs="Calibri"/>
                      <w:lang w:val="en-ZA"/>
                    </w:rPr>
                  </w:pPr>
                </w:p>
              </w:tc>
              <w:tc>
                <w:tcPr>
                  <w:tcW w:w="1043" w:type="dxa"/>
                  <w:shd w:val="clear" w:color="auto" w:fill="auto"/>
                </w:tcPr>
                <w:p w:rsidR="006109AF" w:rsidRPr="00B81F8B" w:rsidRDefault="006109AF" w:rsidP="006109AF">
                  <w:pPr>
                    <w:rPr>
                      <w:rFonts w:ascii="Arial Narrow" w:hAnsi="Arial Narrow" w:cs="Calibri"/>
                      <w:lang w:val="en-ZA"/>
                    </w:rPr>
                  </w:pPr>
                </w:p>
              </w:tc>
              <w:tc>
                <w:tcPr>
                  <w:tcW w:w="1934" w:type="dxa"/>
                  <w:shd w:val="clear" w:color="auto" w:fill="auto"/>
                </w:tcPr>
                <w:p w:rsidR="006109AF" w:rsidRPr="00B81F8B" w:rsidRDefault="006109AF" w:rsidP="006109AF">
                  <w:pPr>
                    <w:rPr>
                      <w:rFonts w:ascii="Arial Narrow" w:hAnsi="Arial Narrow" w:cs="Calibri"/>
                      <w:lang w:val="en-ZA"/>
                    </w:rPr>
                  </w:pPr>
                </w:p>
              </w:tc>
            </w:tr>
            <w:tr w:rsidR="006109AF" w:rsidRPr="00B81F8B" w:rsidTr="006109AF">
              <w:trPr>
                <w:trHeight w:val="398"/>
              </w:trPr>
              <w:tc>
                <w:tcPr>
                  <w:tcW w:w="9498" w:type="dxa"/>
                  <w:gridSpan w:val="3"/>
                  <w:shd w:val="clear" w:color="auto" w:fill="auto"/>
                </w:tcPr>
                <w:p w:rsidR="006109AF" w:rsidRPr="00B81F8B" w:rsidRDefault="006109AF" w:rsidP="006109AF">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6109AF" w:rsidRDefault="006109AF" w:rsidP="006109AF">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p>
        </w:tc>
        <w:tc>
          <w:tcPr>
            <w:tcW w:w="1934" w:type="dxa"/>
            <w:shd w:val="clear" w:color="auto" w:fill="FFFFFF"/>
          </w:tcPr>
          <w:p w:rsidR="00430220" w:rsidRPr="00B81F8B" w:rsidRDefault="00430220" w:rsidP="0065714E">
            <w:pPr>
              <w:rPr>
                <w:rFonts w:ascii="Arial Narrow" w:hAnsi="Arial Narrow" w:cs="Calibri"/>
                <w:b/>
                <w:lang w:val="en-ZA"/>
              </w:rPr>
            </w:pP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p>
        </w:tc>
      </w:tr>
    </w:tbl>
    <w:p w:rsidR="00E73233" w:rsidRDefault="00E7323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2"/>
      <w:bookmarkEnd w:id="13"/>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DD64DD">
        <w:tc>
          <w:tcPr>
            <w:tcW w:w="1678"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766"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25"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DD64DD">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766"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DD64DD">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766"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DD64DD">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766"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DD64DD">
        <w:tc>
          <w:tcPr>
            <w:tcW w:w="1678"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DD64DD">
              <w:rPr>
                <w:rFonts w:ascii="Arial Narrow" w:hAnsi="Arial Narrow"/>
                <w:color w:val="000000"/>
                <w:spacing w:val="-2"/>
              </w:rPr>
              <w:t>4</w:t>
            </w:r>
          </w:p>
        </w:tc>
        <w:tc>
          <w:tcPr>
            <w:tcW w:w="6766"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25"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Default="00430220" w:rsidP="00430220">
      <w:pPr>
        <w:autoSpaceDE w:val="0"/>
        <w:autoSpaceDN w:val="0"/>
        <w:adjustRightInd w:val="0"/>
        <w:rPr>
          <w:rFonts w:ascii="Arial" w:hAnsi="Arial" w:cs="Arial"/>
          <w:color w:val="000000"/>
          <w:sz w:val="22"/>
          <w:szCs w:val="22"/>
          <w:lang w:eastAsia="en-ZA"/>
        </w:rPr>
      </w:pPr>
    </w:p>
    <w:p w:rsidR="00E73233" w:rsidRDefault="00E73233" w:rsidP="00430220">
      <w:pPr>
        <w:autoSpaceDE w:val="0"/>
        <w:autoSpaceDN w:val="0"/>
        <w:adjustRightInd w:val="0"/>
        <w:rPr>
          <w:rFonts w:ascii="Arial" w:hAnsi="Arial" w:cs="Arial"/>
          <w:color w:val="000000"/>
          <w:sz w:val="22"/>
          <w:szCs w:val="22"/>
          <w:lang w:eastAsia="en-ZA"/>
        </w:rPr>
      </w:pPr>
    </w:p>
    <w:p w:rsidR="00E36C84" w:rsidRDefault="00E36C84" w:rsidP="00430220">
      <w:pPr>
        <w:autoSpaceDE w:val="0"/>
        <w:autoSpaceDN w:val="0"/>
        <w:adjustRightInd w:val="0"/>
        <w:rPr>
          <w:rFonts w:ascii="Arial" w:hAnsi="Arial" w:cs="Arial"/>
          <w:color w:val="000000"/>
          <w:sz w:val="22"/>
          <w:szCs w:val="22"/>
          <w:lang w:eastAsia="en-ZA"/>
        </w:rPr>
      </w:pPr>
    </w:p>
    <w:p w:rsidR="00E36C84" w:rsidRDefault="00E36C84" w:rsidP="00430220">
      <w:pPr>
        <w:autoSpaceDE w:val="0"/>
        <w:autoSpaceDN w:val="0"/>
        <w:adjustRightInd w:val="0"/>
        <w:rPr>
          <w:rFonts w:ascii="Arial" w:hAnsi="Arial" w:cs="Arial"/>
          <w:color w:val="000000"/>
          <w:sz w:val="22"/>
          <w:szCs w:val="22"/>
          <w:lang w:eastAsia="en-ZA"/>
        </w:rPr>
      </w:pPr>
    </w:p>
    <w:p w:rsidR="00E36C84" w:rsidRDefault="00E36C84" w:rsidP="00430220">
      <w:pPr>
        <w:autoSpaceDE w:val="0"/>
        <w:autoSpaceDN w:val="0"/>
        <w:adjustRightInd w:val="0"/>
        <w:rPr>
          <w:rFonts w:ascii="Arial" w:hAnsi="Arial" w:cs="Arial"/>
          <w:color w:val="000000"/>
          <w:sz w:val="22"/>
          <w:szCs w:val="22"/>
          <w:lang w:eastAsia="en-ZA"/>
        </w:rPr>
      </w:pPr>
    </w:p>
    <w:p w:rsidR="00E36C84" w:rsidRDefault="00E36C84" w:rsidP="00430220">
      <w:pPr>
        <w:autoSpaceDE w:val="0"/>
        <w:autoSpaceDN w:val="0"/>
        <w:adjustRightInd w:val="0"/>
        <w:rPr>
          <w:rFonts w:ascii="Arial" w:hAnsi="Arial" w:cs="Arial"/>
          <w:color w:val="000000"/>
          <w:sz w:val="22"/>
          <w:szCs w:val="22"/>
          <w:lang w:eastAsia="en-ZA"/>
        </w:rPr>
      </w:pPr>
    </w:p>
    <w:p w:rsidR="00E73233" w:rsidRPr="00E52D11" w:rsidRDefault="00E73233"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supplies </w:t>
      </w:r>
      <w:r w:rsidRPr="00E52D11">
        <w:rPr>
          <w:rFonts w:ascii="Arial" w:hAnsi="Arial" w:cs="Arial"/>
          <w:color w:val="000000"/>
          <w:sz w:val="22"/>
          <w:szCs w:val="22"/>
          <w:lang w:eastAsia="en-ZA"/>
        </w:rPr>
        <w:lastRenderedPageBreak/>
        <w:t>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Default="00430220" w:rsidP="00430220">
      <w:pPr>
        <w:autoSpaceDE w:val="0"/>
        <w:autoSpaceDN w:val="0"/>
        <w:adjustRightInd w:val="0"/>
        <w:jc w:val="both"/>
        <w:rPr>
          <w:rFonts w:ascii="Arial" w:hAnsi="Arial" w:cs="Arial"/>
          <w:color w:val="000000"/>
          <w:sz w:val="22"/>
          <w:szCs w:val="22"/>
          <w:lang w:eastAsia="en-ZA"/>
        </w:rPr>
      </w:pPr>
    </w:p>
    <w:p w:rsidR="00E36C84" w:rsidRDefault="00E36C84" w:rsidP="00430220">
      <w:pPr>
        <w:autoSpaceDE w:val="0"/>
        <w:autoSpaceDN w:val="0"/>
        <w:adjustRightInd w:val="0"/>
        <w:jc w:val="both"/>
        <w:rPr>
          <w:rFonts w:ascii="Arial" w:hAnsi="Arial" w:cs="Arial"/>
          <w:color w:val="000000"/>
          <w:sz w:val="22"/>
          <w:szCs w:val="22"/>
          <w:lang w:eastAsia="en-ZA"/>
        </w:rPr>
      </w:pPr>
    </w:p>
    <w:p w:rsidR="00E36C84" w:rsidRDefault="00E36C84" w:rsidP="00430220">
      <w:pPr>
        <w:autoSpaceDE w:val="0"/>
        <w:autoSpaceDN w:val="0"/>
        <w:adjustRightInd w:val="0"/>
        <w:jc w:val="both"/>
        <w:rPr>
          <w:rFonts w:ascii="Arial" w:hAnsi="Arial" w:cs="Arial"/>
          <w:color w:val="000000"/>
          <w:sz w:val="22"/>
          <w:szCs w:val="22"/>
          <w:lang w:eastAsia="en-ZA"/>
        </w:rPr>
      </w:pPr>
    </w:p>
    <w:p w:rsidR="00E36C84" w:rsidRDefault="00E36C84" w:rsidP="00430220">
      <w:pPr>
        <w:autoSpaceDE w:val="0"/>
        <w:autoSpaceDN w:val="0"/>
        <w:adjustRightInd w:val="0"/>
        <w:jc w:val="both"/>
        <w:rPr>
          <w:rFonts w:ascii="Arial" w:hAnsi="Arial" w:cs="Arial"/>
          <w:color w:val="000000"/>
          <w:sz w:val="22"/>
          <w:szCs w:val="22"/>
          <w:lang w:eastAsia="en-ZA"/>
        </w:rPr>
      </w:pPr>
    </w:p>
    <w:p w:rsidR="00E36C84" w:rsidRPr="00E52D11" w:rsidRDefault="00E36C84"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E36C84" w:rsidRDefault="00E36C84" w:rsidP="00430220">
      <w:pPr>
        <w:autoSpaceDE w:val="0"/>
        <w:autoSpaceDN w:val="0"/>
        <w:adjustRightInd w:val="0"/>
        <w:ind w:left="720" w:hanging="720"/>
        <w:jc w:val="both"/>
        <w:rPr>
          <w:rFonts w:ascii="Arial" w:hAnsi="Arial" w:cs="Arial"/>
          <w:color w:val="000000"/>
          <w:sz w:val="22"/>
          <w:szCs w:val="22"/>
          <w:lang w:eastAsia="en-ZA"/>
        </w:rPr>
      </w:pPr>
    </w:p>
    <w:p w:rsidR="00E36C84" w:rsidRDefault="00E36C84" w:rsidP="00430220">
      <w:pPr>
        <w:autoSpaceDE w:val="0"/>
        <w:autoSpaceDN w:val="0"/>
        <w:adjustRightInd w:val="0"/>
        <w:ind w:left="720" w:hanging="720"/>
        <w:jc w:val="both"/>
        <w:rPr>
          <w:rFonts w:ascii="Arial" w:hAnsi="Arial" w:cs="Arial"/>
          <w:color w:val="000000"/>
          <w:sz w:val="22"/>
          <w:szCs w:val="22"/>
          <w:lang w:eastAsia="en-ZA"/>
        </w:rPr>
      </w:pPr>
    </w:p>
    <w:p w:rsidR="00E36C84" w:rsidRPr="00E52D11" w:rsidRDefault="00E36C84"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Act, No. 12 of 2004, the court may also rule that such </w:t>
      </w:r>
      <w:r w:rsidRPr="00E52D11">
        <w:rPr>
          <w:rFonts w:ascii="Arial" w:hAnsi="Arial" w:cs="Arial"/>
          <w:color w:val="000000"/>
          <w:sz w:val="22"/>
          <w:szCs w:val="22"/>
          <w:lang w:eastAsia="en-ZA"/>
        </w:rPr>
        <w:lastRenderedPageBreak/>
        <w:t>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r w:rsidR="00E73233" w:rsidRPr="00E52D11">
        <w:rPr>
          <w:rFonts w:ascii="Arial" w:hAnsi="Arial" w:cs="Arial"/>
          <w:color w:val="000000"/>
          <w:sz w:val="22"/>
          <w:szCs w:val="22"/>
          <w:lang w:eastAsia="en-ZA"/>
        </w:rPr>
        <w:t>favorable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00E36C84" w:rsidRPr="00E52D11">
        <w:rPr>
          <w:rFonts w:ascii="Arial" w:hAnsi="Arial" w:cs="Arial"/>
          <w:b/>
          <w:bCs/>
          <w:color w:val="000000"/>
          <w:sz w:val="20"/>
          <w:szCs w:val="20"/>
          <w:lang w:eastAsia="en-ZA"/>
        </w:rPr>
        <w:t>Programmer</w:t>
      </w:r>
      <w:bookmarkStart w:id="19" w:name="_GoBack"/>
      <w:bookmarkEnd w:id="19"/>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AD0773">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794" w:rsidRDefault="006E5794">
      <w:r>
        <w:separator/>
      </w:r>
    </w:p>
  </w:endnote>
  <w:endnote w:type="continuationSeparator" w:id="0">
    <w:p w:rsidR="006E5794" w:rsidRDefault="006E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7F5" w:rsidRDefault="006A07F5">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6A07F5" w:rsidRPr="00997AE0" w:rsidRDefault="006A07F5" w:rsidP="00997AE0">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E36C84">
      <w:rPr>
        <w:rStyle w:val="PageNumber"/>
        <w:rFonts w:ascii="Arial" w:hAnsi="Arial" w:cs="Arial"/>
        <w:noProof/>
        <w:sz w:val="18"/>
        <w:szCs w:val="18"/>
      </w:rPr>
      <w:t>36</w:t>
    </w:r>
    <w:r w:rsidRPr="001732F5">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794" w:rsidRDefault="006E5794">
      <w:r>
        <w:separator/>
      </w:r>
    </w:p>
  </w:footnote>
  <w:footnote w:type="continuationSeparator" w:id="0">
    <w:p w:rsidR="006E5794" w:rsidRDefault="006E5794">
      <w:r>
        <w:continuationSeparator/>
      </w:r>
    </w:p>
  </w:footnote>
  <w:footnote w:id="1">
    <w:p w:rsidR="006A07F5" w:rsidRDefault="006A07F5"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A07F5" w:rsidRDefault="006A07F5" w:rsidP="003B72E5">
      <w:pPr>
        <w:pStyle w:val="FootnoteText"/>
      </w:pPr>
    </w:p>
    <w:p w:rsidR="006A07F5" w:rsidRDefault="006A07F5" w:rsidP="003B72E5">
      <w:pPr>
        <w:pStyle w:val="FootnoteText"/>
      </w:pPr>
    </w:p>
  </w:footnote>
  <w:footnote w:id="2">
    <w:p w:rsidR="006A07F5" w:rsidRDefault="006A07F5"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6A07F5" w:rsidRPr="00B677D5" w:rsidTr="001B1D22">
      <w:trPr>
        <w:trHeight w:val="240"/>
      </w:trPr>
      <w:tc>
        <w:tcPr>
          <w:tcW w:w="4408" w:type="dxa"/>
        </w:tcPr>
        <w:p w:rsidR="00997AE0" w:rsidRPr="00B677D5" w:rsidRDefault="00997AE0" w:rsidP="001B1D22">
          <w:pPr>
            <w:pStyle w:val="Header"/>
            <w:rPr>
              <w:rFonts w:ascii="Arial" w:hAnsi="Arial" w:cs="Arial"/>
              <w:sz w:val="18"/>
              <w:szCs w:val="18"/>
            </w:rPr>
          </w:pPr>
        </w:p>
      </w:tc>
      <w:tc>
        <w:tcPr>
          <w:tcW w:w="4408" w:type="dxa"/>
          <w:vAlign w:val="center"/>
        </w:tcPr>
        <w:p w:rsidR="006A07F5" w:rsidRPr="008318DE" w:rsidRDefault="006A07F5" w:rsidP="008318DE">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RFQ NO:</w:t>
          </w:r>
          <w:r w:rsidR="00997AE0">
            <w:rPr>
              <w:rFonts w:ascii="Arial Narrow" w:hAnsi="Arial Narrow" w:cs="Arial"/>
              <w:b/>
              <w:color w:val="000000"/>
              <w:sz w:val="28"/>
              <w:szCs w:val="28"/>
            </w:rPr>
            <w:t xml:space="preserve"> 1505298</w:t>
          </w:r>
          <w:r>
            <w:rPr>
              <w:rFonts w:ascii="Arial Narrow" w:hAnsi="Arial Narrow" w:cs="Arial"/>
              <w:b/>
              <w:color w:val="000000"/>
              <w:sz w:val="28"/>
              <w:szCs w:val="28"/>
            </w:rPr>
            <w:t xml:space="preserve"> AGINITY PRO LICENCE FOR 33 USERS.</w:t>
          </w:r>
        </w:p>
        <w:p w:rsidR="006A07F5" w:rsidRPr="00B677D5" w:rsidRDefault="006A07F5" w:rsidP="001E6EDB">
          <w:pPr>
            <w:pStyle w:val="Header"/>
            <w:tabs>
              <w:tab w:val="clear" w:pos="4320"/>
              <w:tab w:val="clear" w:pos="8640"/>
            </w:tabs>
            <w:ind w:left="-261" w:right="69"/>
            <w:jc w:val="center"/>
            <w:rPr>
              <w:rFonts w:ascii="Arial" w:hAnsi="Arial" w:cs="Arial"/>
              <w:sz w:val="18"/>
              <w:szCs w:val="18"/>
            </w:rPr>
          </w:pPr>
        </w:p>
      </w:tc>
    </w:tr>
  </w:tbl>
  <w:p w:rsidR="006A07F5" w:rsidRPr="00A90F6B" w:rsidRDefault="006A07F5" w:rsidP="00A90F6B">
    <w:pPr>
      <w:pStyle w:val="Header"/>
      <w:rPr>
        <w:sz w:val="16"/>
        <w:szCs w:val="16"/>
      </w:rPr>
    </w:pPr>
    <w:r>
      <w:rPr>
        <w:rFonts w:ascii="Arial" w:hAnsi="Arial" w:cs="Arial"/>
        <w:sz w:val="16"/>
        <w:szCs w:val="16"/>
      </w:rPr>
      <w:pict>
        <v:rect id="_x0000_i1034"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0"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E9D6B3E"/>
    <w:multiLevelType w:val="hybridMultilevel"/>
    <w:tmpl w:val="198C935C"/>
    <w:lvl w:ilvl="0" w:tplc="1C090019">
      <w:start w:val="1"/>
      <w:numFmt w:val="lowerLetter"/>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0" w15:restartNumberingAfterBreak="0">
    <w:nsid w:val="2FCC5965"/>
    <w:multiLevelType w:val="multilevel"/>
    <w:tmpl w:val="62DC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4" w15:restartNumberingAfterBreak="0">
    <w:nsid w:val="3F8F0F15"/>
    <w:multiLevelType w:val="multilevel"/>
    <w:tmpl w:val="0F14D740"/>
    <w:lvl w:ilvl="0">
      <w:start w:val="1"/>
      <w:numFmt w:val="upperLetter"/>
      <w:pStyle w:val="AnnexH1"/>
      <w:lvlText w:val="Annex %1 :"/>
      <w:lvlJc w:val="left"/>
      <w:pPr>
        <w:tabs>
          <w:tab w:val="num" w:pos="1080"/>
        </w:tabs>
        <w:ind w:left="851" w:hanging="851"/>
      </w:pPr>
      <w:rPr>
        <w:rFonts w:ascii="Calibri" w:hAnsi="Calibri"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126"/>
        </w:tabs>
        <w:ind w:left="-1126" w:hanging="851"/>
      </w:pPr>
      <w:rPr>
        <w:rFonts w:hint="default"/>
      </w:rPr>
    </w:lvl>
    <w:lvl w:ilvl="2">
      <w:start w:val="1"/>
      <w:numFmt w:val="decimal"/>
      <w:pStyle w:val="AnnexH3"/>
      <w:lvlText w:val="%1.22.%3."/>
      <w:lvlJc w:val="left"/>
      <w:pPr>
        <w:tabs>
          <w:tab w:val="num" w:pos="-1077"/>
        </w:tabs>
        <w:ind w:left="-1077" w:hanging="720"/>
      </w:pPr>
      <w:rPr>
        <w:rFonts w:hint="default"/>
        <w:b w:val="0"/>
      </w:rPr>
    </w:lvl>
    <w:lvl w:ilvl="3">
      <w:start w:val="1"/>
      <w:numFmt w:val="decimal"/>
      <w:pStyle w:val="AnnexH4"/>
      <w:lvlText w:val="%1.%2.%3.%4"/>
      <w:lvlJc w:val="left"/>
      <w:pPr>
        <w:tabs>
          <w:tab w:val="num" w:pos="-1113"/>
        </w:tabs>
        <w:ind w:left="-1113" w:hanging="864"/>
      </w:pPr>
      <w:rPr>
        <w:rFonts w:hint="default"/>
      </w:rPr>
    </w:lvl>
    <w:lvl w:ilvl="4">
      <w:start w:val="1"/>
      <w:numFmt w:val="decimal"/>
      <w:pStyle w:val="AnnexH5"/>
      <w:lvlText w:val="%1.23.%5"/>
      <w:lvlJc w:val="left"/>
      <w:pPr>
        <w:tabs>
          <w:tab w:val="num" w:pos="-735"/>
        </w:tabs>
        <w:ind w:left="-735" w:hanging="1242"/>
      </w:pPr>
      <w:rPr>
        <w:rFonts w:hint="default"/>
      </w:rPr>
    </w:lvl>
    <w:lvl w:ilvl="5">
      <w:start w:val="1"/>
      <w:numFmt w:val="decimal"/>
      <w:lvlText w:val="%1.%2.%3.%4.%5.%6"/>
      <w:lvlJc w:val="left"/>
      <w:pPr>
        <w:tabs>
          <w:tab w:val="num" w:pos="543"/>
        </w:tabs>
        <w:ind w:left="-825" w:hanging="1152"/>
      </w:pPr>
      <w:rPr>
        <w:rFonts w:hint="default"/>
      </w:rPr>
    </w:lvl>
    <w:lvl w:ilvl="6">
      <w:start w:val="1"/>
      <w:numFmt w:val="decimal"/>
      <w:lvlText w:val="%1.%2.%3.%4.%5.%6.%7"/>
      <w:lvlJc w:val="left"/>
      <w:pPr>
        <w:tabs>
          <w:tab w:val="num" w:pos="-681"/>
        </w:tabs>
        <w:ind w:left="-681" w:hanging="1296"/>
      </w:pPr>
      <w:rPr>
        <w:rFonts w:hint="default"/>
      </w:rPr>
    </w:lvl>
    <w:lvl w:ilvl="7">
      <w:start w:val="1"/>
      <w:numFmt w:val="decimal"/>
      <w:lvlText w:val="%1.%2.%3.%4.%5.%6.%7.%8"/>
      <w:lvlJc w:val="left"/>
      <w:pPr>
        <w:tabs>
          <w:tab w:val="num" w:pos="-537"/>
        </w:tabs>
        <w:ind w:left="-537" w:hanging="1440"/>
      </w:pPr>
      <w:rPr>
        <w:rFonts w:hint="default"/>
      </w:rPr>
    </w:lvl>
    <w:lvl w:ilvl="8">
      <w:start w:val="1"/>
      <w:numFmt w:val="decimal"/>
      <w:lvlText w:val="%1.%2.%3.%4.%5.%6.%7.%8.%9"/>
      <w:lvlJc w:val="left"/>
      <w:pPr>
        <w:tabs>
          <w:tab w:val="num" w:pos="-393"/>
        </w:tabs>
        <w:ind w:left="-393" w:hanging="1584"/>
      </w:pPr>
      <w:rPr>
        <w:rFonts w:hint="default"/>
      </w:r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64C0FC7"/>
    <w:multiLevelType w:val="hybridMultilevel"/>
    <w:tmpl w:val="4476BE80"/>
    <w:lvl w:ilvl="0" w:tplc="08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44F22A7"/>
    <w:multiLevelType w:val="hybridMultilevel"/>
    <w:tmpl w:val="9962AF8C"/>
    <w:lvl w:ilvl="0" w:tplc="08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7"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1" w15:restartNumberingAfterBreak="0">
    <w:nsid w:val="6E9F221D"/>
    <w:multiLevelType w:val="hybridMultilevel"/>
    <w:tmpl w:val="E44AAFC6"/>
    <w:lvl w:ilvl="0" w:tplc="F97EFCE0">
      <w:start w:val="4"/>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2"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
  </w:num>
  <w:num w:numId="3">
    <w:abstractNumId w:val="11"/>
  </w:num>
  <w:num w:numId="4">
    <w:abstractNumId w:val="40"/>
  </w:num>
  <w:num w:numId="5">
    <w:abstractNumId w:val="6"/>
  </w:num>
  <w:num w:numId="6">
    <w:abstractNumId w:val="8"/>
  </w:num>
  <w:num w:numId="7">
    <w:abstractNumId w:val="12"/>
  </w:num>
  <w:num w:numId="8">
    <w:abstractNumId w:val="9"/>
  </w:num>
  <w:num w:numId="9">
    <w:abstractNumId w:val="23"/>
  </w:num>
  <w:num w:numId="10">
    <w:abstractNumId w:val="31"/>
  </w:num>
  <w:num w:numId="11">
    <w:abstractNumId w:val="14"/>
  </w:num>
  <w:num w:numId="12">
    <w:abstractNumId w:val="16"/>
  </w:num>
  <w:num w:numId="13">
    <w:abstractNumId w:val="34"/>
  </w:num>
  <w:num w:numId="14">
    <w:abstractNumId w:val="33"/>
  </w:num>
  <w:num w:numId="15">
    <w:abstractNumId w:val="38"/>
  </w:num>
  <w:num w:numId="16">
    <w:abstractNumId w:val="15"/>
  </w:num>
  <w:num w:numId="17">
    <w:abstractNumId w:val="28"/>
  </w:num>
  <w:num w:numId="18">
    <w:abstractNumId w:val="3"/>
  </w:num>
  <w:num w:numId="19">
    <w:abstractNumId w:val="43"/>
  </w:num>
  <w:num w:numId="20">
    <w:abstractNumId w:val="21"/>
  </w:num>
  <w:num w:numId="21">
    <w:abstractNumId w:val="22"/>
  </w:num>
  <w:num w:numId="22">
    <w:abstractNumId w:val="19"/>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5"/>
  </w:num>
  <w:num w:numId="30">
    <w:abstractNumId w:val="7"/>
  </w:num>
  <w:num w:numId="31">
    <w:abstractNumId w:val="25"/>
  </w:num>
  <w:num w:numId="32">
    <w:abstractNumId w:val="26"/>
  </w:num>
  <w:num w:numId="33">
    <w:abstractNumId w:val="36"/>
  </w:num>
  <w:num w:numId="34">
    <w:abstractNumId w:val="17"/>
  </w:num>
  <w:num w:numId="35">
    <w:abstractNumId w:val="29"/>
  </w:num>
  <w:num w:numId="36">
    <w:abstractNumId w:val="30"/>
  </w:num>
  <w:num w:numId="37">
    <w:abstractNumId w:val="20"/>
  </w:num>
  <w:num w:numId="38">
    <w:abstractNumId w:val="1"/>
  </w:num>
  <w:num w:numId="39">
    <w:abstractNumId w:val="41"/>
  </w:num>
  <w:num w:numId="40">
    <w:abstractNumId w:val="32"/>
  </w:num>
  <w:num w:numId="41">
    <w:abstractNumId w:val="27"/>
  </w:num>
  <w:num w:numId="42">
    <w:abstractNumId w:val="24"/>
  </w:num>
  <w:num w:numId="43">
    <w:abstractNumId w:val="0"/>
  </w:num>
  <w:num w:numId="44">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55C9"/>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73C"/>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1F33"/>
    <w:rsid w:val="00205AEF"/>
    <w:rsid w:val="00206EC5"/>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2368"/>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11A"/>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C6C95"/>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DDC"/>
    <w:rsid w:val="005E6E1C"/>
    <w:rsid w:val="005E771F"/>
    <w:rsid w:val="005F27EE"/>
    <w:rsid w:val="005F3E6C"/>
    <w:rsid w:val="0060235F"/>
    <w:rsid w:val="00606304"/>
    <w:rsid w:val="00607770"/>
    <w:rsid w:val="006109AF"/>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07F5"/>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5794"/>
    <w:rsid w:val="006E6280"/>
    <w:rsid w:val="006E6993"/>
    <w:rsid w:val="006F2F12"/>
    <w:rsid w:val="006F3A08"/>
    <w:rsid w:val="006F465C"/>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2F1"/>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36F8"/>
    <w:rsid w:val="007D3B76"/>
    <w:rsid w:val="007D6629"/>
    <w:rsid w:val="007D752C"/>
    <w:rsid w:val="007E0356"/>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64E"/>
    <w:rsid w:val="00821972"/>
    <w:rsid w:val="00822ACE"/>
    <w:rsid w:val="00826063"/>
    <w:rsid w:val="0082643C"/>
    <w:rsid w:val="0082771C"/>
    <w:rsid w:val="008318DE"/>
    <w:rsid w:val="0083309D"/>
    <w:rsid w:val="0083651C"/>
    <w:rsid w:val="00836BDE"/>
    <w:rsid w:val="00841D3B"/>
    <w:rsid w:val="008433F2"/>
    <w:rsid w:val="00843FC8"/>
    <w:rsid w:val="008450B7"/>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C6C44"/>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3453"/>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246B4"/>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44506"/>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AE0"/>
    <w:rsid w:val="00997D18"/>
    <w:rsid w:val="009A225D"/>
    <w:rsid w:val="009A57C8"/>
    <w:rsid w:val="009A5819"/>
    <w:rsid w:val="009A5F44"/>
    <w:rsid w:val="009B178C"/>
    <w:rsid w:val="009B1B8D"/>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636AC"/>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6B0"/>
    <w:rsid w:val="00B00871"/>
    <w:rsid w:val="00B00F5C"/>
    <w:rsid w:val="00B00F9F"/>
    <w:rsid w:val="00B02C03"/>
    <w:rsid w:val="00B03B11"/>
    <w:rsid w:val="00B07AFA"/>
    <w:rsid w:val="00B120DC"/>
    <w:rsid w:val="00B134AC"/>
    <w:rsid w:val="00B1503D"/>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5A30"/>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BB7"/>
    <w:rsid w:val="00BD1FB6"/>
    <w:rsid w:val="00BD2841"/>
    <w:rsid w:val="00BD3832"/>
    <w:rsid w:val="00BD4153"/>
    <w:rsid w:val="00BD4175"/>
    <w:rsid w:val="00BD6A1D"/>
    <w:rsid w:val="00BD7487"/>
    <w:rsid w:val="00BE1F61"/>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532"/>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D69A2"/>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4DD"/>
    <w:rsid w:val="00DD6F3A"/>
    <w:rsid w:val="00DE070B"/>
    <w:rsid w:val="00DE262A"/>
    <w:rsid w:val="00DE3E11"/>
    <w:rsid w:val="00DE7854"/>
    <w:rsid w:val="00DE7C11"/>
    <w:rsid w:val="00DF06C0"/>
    <w:rsid w:val="00DF0E9A"/>
    <w:rsid w:val="00DF25C6"/>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6C84"/>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3233"/>
    <w:rsid w:val="00E75448"/>
    <w:rsid w:val="00E81F5B"/>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4E8C"/>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FBE27E8"/>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8C6C44"/>
    <w:rPr>
      <w:rFonts w:ascii="Arial" w:hAnsi="Arial"/>
      <w:b/>
      <w:snapToGrid w:val="0"/>
      <w:sz w:val="22"/>
      <w:lang w:val="en-GB" w:eastAsia="en-US" w:bidi="ar-SA"/>
    </w:rPr>
  </w:style>
  <w:style w:type="paragraph" w:customStyle="1" w:styleId="AnnexH1">
    <w:name w:val="Annex H1"/>
    <w:basedOn w:val="Heading1"/>
    <w:next w:val="Normal"/>
    <w:uiPriority w:val="99"/>
    <w:rsid w:val="00E73233"/>
    <w:pPr>
      <w:pageBreakBefore/>
      <w:numPr>
        <w:numId w:val="42"/>
      </w:numPr>
      <w:pBdr>
        <w:bottom w:val="single" w:sz="12" w:space="1" w:color="000080"/>
      </w:pBdr>
      <w:tabs>
        <w:tab w:val="num" w:pos="360"/>
      </w:tabs>
      <w:spacing w:before="0"/>
      <w:ind w:left="0" w:firstLine="0"/>
    </w:pPr>
    <w:rPr>
      <w:rFonts w:ascii="Arial" w:hAnsi="Arial"/>
      <w:bCs w:val="0"/>
      <w:color w:val="000000"/>
      <w:kern w:val="28"/>
      <w:sz w:val="28"/>
      <w:szCs w:val="20"/>
      <w:lang w:val="en-ZA"/>
    </w:rPr>
  </w:style>
  <w:style w:type="paragraph" w:customStyle="1" w:styleId="AnnexH2">
    <w:name w:val="Annex H2"/>
    <w:basedOn w:val="AnnexH1"/>
    <w:next w:val="Normal"/>
    <w:rsid w:val="00E73233"/>
    <w:pPr>
      <w:pageBreakBefore w:val="0"/>
      <w:numPr>
        <w:ilvl w:val="1"/>
      </w:numPr>
      <w:pBdr>
        <w:bottom w:val="none" w:sz="0" w:space="0" w:color="auto"/>
      </w:pBdr>
      <w:tabs>
        <w:tab w:val="num" w:pos="360"/>
      </w:tabs>
      <w:spacing w:after="0"/>
      <w:outlineLvl w:val="1"/>
    </w:pPr>
    <w:rPr>
      <w:rFonts w:ascii="Verdana" w:hAnsi="Verdana" w:cs="Arial"/>
      <w:sz w:val="24"/>
    </w:rPr>
  </w:style>
  <w:style w:type="paragraph" w:customStyle="1" w:styleId="AnnexH3">
    <w:name w:val="Annex H3"/>
    <w:basedOn w:val="AnnexH2"/>
    <w:next w:val="Normal"/>
    <w:rsid w:val="00E73233"/>
    <w:pPr>
      <w:numPr>
        <w:ilvl w:val="2"/>
      </w:numPr>
      <w:outlineLvl w:val="2"/>
    </w:pPr>
    <w:rPr>
      <w:sz w:val="22"/>
    </w:rPr>
  </w:style>
  <w:style w:type="paragraph" w:customStyle="1" w:styleId="AnnexH4">
    <w:name w:val="Annex H4"/>
    <w:basedOn w:val="AnnexH3"/>
    <w:next w:val="Normal"/>
    <w:rsid w:val="00E73233"/>
    <w:pPr>
      <w:numPr>
        <w:ilvl w:val="3"/>
      </w:numPr>
      <w:outlineLvl w:val="3"/>
    </w:pPr>
    <w:rPr>
      <w:sz w:val="20"/>
    </w:rPr>
  </w:style>
  <w:style w:type="paragraph" w:customStyle="1" w:styleId="AnnexH5">
    <w:name w:val="Annex H5"/>
    <w:basedOn w:val="AnnexH4"/>
    <w:next w:val="Normal"/>
    <w:rsid w:val="00E73233"/>
    <w:pPr>
      <w:numPr>
        <w:ilvl w:val="4"/>
      </w:numPr>
      <w:outlineLvl w:val="4"/>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curementCorporate@nhls.ac.za"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3609C-C458-42AD-BD30-771E0D23C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11173</Words>
  <Characters>63692</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Ntombozuko Mbewu</cp:lastModifiedBy>
  <cp:revision>3</cp:revision>
  <cp:lastPrinted>2022-07-19T07:56:00Z</cp:lastPrinted>
  <dcterms:created xsi:type="dcterms:W3CDTF">2022-11-24T08:07:00Z</dcterms:created>
  <dcterms:modified xsi:type="dcterms:W3CDTF">2022-11-24T11:21:00Z</dcterms:modified>
</cp:coreProperties>
</file>