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D62C1" w:rsidRDefault="005D62C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D62C1" w:rsidRDefault="005D62C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 xml:space="preserve">Supply, deliver and install </w:t>
      </w:r>
      <w:r w:rsidR="00887B1E">
        <w:rPr>
          <w:rFonts w:ascii="Arial Narrow" w:hAnsi="Arial Narrow" w:cs="Arial"/>
          <w:b/>
          <w:color w:val="000000"/>
          <w:sz w:val="28"/>
          <w:szCs w:val="28"/>
        </w:rPr>
        <w:t>Micro Ce</w:t>
      </w:r>
      <w:r w:rsidR="005D62C1">
        <w:rPr>
          <w:rFonts w:ascii="Arial Narrow" w:hAnsi="Arial Narrow" w:cs="Arial"/>
          <w:b/>
          <w:color w:val="000000"/>
          <w:sz w:val="28"/>
          <w:szCs w:val="28"/>
        </w:rPr>
        <w:t>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 xml:space="preserve">NHLS </w:t>
      </w:r>
      <w:proofErr w:type="spellStart"/>
      <w:r w:rsidR="00B113AB">
        <w:rPr>
          <w:rFonts w:ascii="Arial Narrow" w:hAnsi="Arial Narrow" w:cs="Arial"/>
          <w:b/>
          <w:color w:val="000000"/>
          <w:sz w:val="28"/>
          <w:szCs w:val="28"/>
        </w:rPr>
        <w:t>Braam</w:t>
      </w:r>
      <w:proofErr w:type="spellEnd"/>
      <w:r w:rsidR="00887B1E">
        <w:rPr>
          <w:rFonts w:ascii="Arial Narrow" w:hAnsi="Arial Narrow" w:cs="Arial"/>
          <w:b/>
          <w:color w:val="000000"/>
          <w:sz w:val="28"/>
          <w:szCs w:val="28"/>
        </w:rPr>
        <w:t xml:space="preserve"> Human Genetics </w:t>
      </w:r>
      <w:r w:rsidR="000F16EC">
        <w:rPr>
          <w:rFonts w:ascii="Arial Narrow" w:hAnsi="Arial Narrow" w:cs="Arial"/>
          <w:b/>
          <w:color w:val="000000"/>
          <w:sz w:val="28"/>
          <w:szCs w:val="28"/>
        </w:rPr>
        <w:t>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887B1E">
        <w:rPr>
          <w:rFonts w:ascii="Arial Narrow" w:eastAsia="Calibri" w:hAnsi="Arial Narrow" w:cs="Arial"/>
          <w:b/>
          <w:sz w:val="28"/>
          <w:szCs w:val="28"/>
          <w:lang w:val="en-ZA"/>
        </w:rPr>
        <w:t>GAUCEN2022-021</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10E7D">
        <w:rPr>
          <w:rFonts w:ascii="Arial Narrow" w:eastAsia="Calibri" w:hAnsi="Arial Narrow" w:cs="Arial"/>
          <w:b/>
          <w:sz w:val="28"/>
          <w:szCs w:val="28"/>
          <w:lang w:val="en-ZA"/>
        </w:rPr>
        <w:t>0</w:t>
      </w:r>
      <w:r w:rsidR="00F36B5E">
        <w:rPr>
          <w:rFonts w:ascii="Arial Narrow" w:eastAsia="Calibri" w:hAnsi="Arial Narrow" w:cs="Arial"/>
          <w:b/>
          <w:sz w:val="28"/>
          <w:szCs w:val="28"/>
          <w:lang w:val="en-ZA"/>
        </w:rPr>
        <w:t>7</w:t>
      </w:r>
      <w:r w:rsidR="000F16EC">
        <w:rPr>
          <w:rFonts w:ascii="Arial Narrow" w:eastAsia="Calibri" w:hAnsi="Arial Narrow" w:cs="Arial"/>
          <w:b/>
          <w:sz w:val="28"/>
          <w:szCs w:val="28"/>
          <w:lang w:val="en-ZA"/>
        </w:rPr>
        <w:t xml:space="preserve"> </w:t>
      </w:r>
      <w:r w:rsidR="00887B1E">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117F3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16"/>
        <w:gridCol w:w="15"/>
        <w:gridCol w:w="1286"/>
        <w:gridCol w:w="1802"/>
        <w:gridCol w:w="1080"/>
        <w:gridCol w:w="43"/>
        <w:gridCol w:w="1299"/>
        <w:gridCol w:w="217"/>
        <w:gridCol w:w="314"/>
        <w:gridCol w:w="418"/>
        <w:gridCol w:w="823"/>
        <w:gridCol w:w="1409"/>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87B1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887B1E">
              <w:rPr>
                <w:rFonts w:ascii="Arial Narrow" w:hAnsi="Arial Narrow"/>
                <w:b/>
                <w:sz w:val="20"/>
                <w:lang w:val="en-GB"/>
              </w:rPr>
              <w:t>GAUCEN2022-021</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F36B5E"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07</w:t>
            </w:r>
            <w:r w:rsidR="00887B1E">
              <w:rPr>
                <w:rFonts w:ascii="Arial Narrow" w:hAnsi="Arial Narrow"/>
                <w:b/>
                <w:sz w:val="20"/>
                <w:lang w:val="en-GB"/>
              </w:rPr>
              <w:t xml:space="preserve"> October</w:t>
            </w:r>
            <w:r>
              <w:rPr>
                <w:rFonts w:ascii="Arial Narrow" w:hAnsi="Arial Narrow"/>
                <w:b/>
                <w:sz w:val="20"/>
                <w:lang w:val="en-GB"/>
              </w:rPr>
              <w:t xml:space="preserve"> </w:t>
            </w:r>
            <w:r w:rsidR="000F16EC">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w:t>
            </w:r>
            <w:r w:rsidR="00887B1E">
              <w:rPr>
                <w:rFonts w:ascii="Arial Narrow" w:hAnsi="Arial Narrow" w:cs="Arial"/>
                <w:b/>
                <w:color w:val="000000"/>
                <w:sz w:val="20"/>
                <w:szCs w:val="20"/>
              </w:rPr>
              <w:t xml:space="preserve">deliver and install Micro </w:t>
            </w:r>
            <w:r w:rsidR="005D62C1">
              <w:rPr>
                <w:rFonts w:ascii="Arial Narrow" w:hAnsi="Arial Narrow" w:cs="Arial"/>
                <w:b/>
                <w:color w:val="000000"/>
                <w:sz w:val="20"/>
                <w:szCs w:val="20"/>
              </w:rPr>
              <w:t xml:space="preserve">Centrifuge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87B1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887B1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Angela Turner</w:t>
            </w:r>
          </w:p>
        </w:tc>
      </w:tr>
      <w:tr w:rsidR="00887B1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887B1E"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011 489 9286</w:t>
            </w:r>
          </w:p>
        </w:tc>
      </w:tr>
      <w:tr w:rsidR="00887B1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887B1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887B1E"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Angela.turner</w:t>
            </w:r>
            <w:r w:rsidR="00124DCD" w:rsidRPr="00124DCD">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7B1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7B1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7B1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87B1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87B1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7F35">
              <w:rPr>
                <w:rFonts w:ascii="Arial Narrow" w:hAnsi="Arial Narrow"/>
                <w:sz w:val="20"/>
                <w:lang w:val="en-GB"/>
              </w:rPr>
            </w:r>
            <w:r w:rsidR="00117F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887B1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1 x Micro </w:t>
            </w:r>
            <w:r w:rsidR="00E81DC3">
              <w:rPr>
                <w:rFonts w:ascii="Arial Narrow" w:hAnsi="Arial Narrow" w:cs="Arial"/>
                <w:sz w:val="20"/>
                <w:szCs w:val="20"/>
                <w:lang w:val="en-ZA" w:eastAsia="en-ZA"/>
              </w:rPr>
              <w:t>Centrifuge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ED60D5">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87B1E">
              <w:rPr>
                <w:rFonts w:ascii="Arial Narrow" w:hAnsi="Arial Narrow"/>
                <w:b/>
                <w:sz w:val="22"/>
                <w:szCs w:val="22"/>
              </w:rPr>
              <w:t>GAUCEN2022-021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10E7D">
              <w:rPr>
                <w:rFonts w:ascii="Arial Narrow" w:hAnsi="Arial Narrow"/>
                <w:b/>
                <w:sz w:val="22"/>
                <w:szCs w:val="22"/>
              </w:rPr>
              <w:t>0</w:t>
            </w:r>
            <w:r w:rsidR="00F36B5E">
              <w:rPr>
                <w:rFonts w:ascii="Arial Narrow" w:hAnsi="Arial Narrow"/>
                <w:b/>
                <w:sz w:val="22"/>
                <w:szCs w:val="22"/>
              </w:rPr>
              <w:t>7</w:t>
            </w:r>
            <w:bookmarkStart w:id="4" w:name="_GoBack"/>
            <w:bookmarkEnd w:id="4"/>
            <w:r w:rsidR="00E81DC3">
              <w:rPr>
                <w:rFonts w:ascii="Arial Narrow" w:hAnsi="Arial Narrow"/>
                <w:b/>
                <w:sz w:val="22"/>
                <w:szCs w:val="22"/>
              </w:rPr>
              <w:t xml:space="preserve"> </w:t>
            </w:r>
            <w:r w:rsidR="00887B1E">
              <w:rPr>
                <w:rFonts w:ascii="Arial Narrow" w:hAnsi="Arial Narrow"/>
                <w:b/>
                <w:sz w:val="22"/>
                <w:szCs w:val="22"/>
              </w:rPr>
              <w:t>Octo</w:t>
            </w:r>
            <w:r w:rsidR="00016E34">
              <w:rPr>
                <w:rFonts w:ascii="Arial Narrow" w:hAnsi="Arial Narrow"/>
                <w:b/>
                <w:sz w:val="22"/>
                <w:szCs w:val="22"/>
              </w:rPr>
              <w:t>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887B1E">
              <w:rPr>
                <w:rFonts w:ascii="Arial" w:eastAsia="Calibri" w:hAnsi="Arial" w:cs="Arial"/>
                <w:b/>
                <w:bCs/>
              </w:rPr>
              <w:t xml:space="preserve">-Micro </w:t>
            </w:r>
            <w:r w:rsidR="00F53EE8">
              <w:rPr>
                <w:rFonts w:ascii="Arial" w:eastAsia="Calibri" w:hAnsi="Arial" w:cs="Arial"/>
                <w:b/>
                <w:bCs/>
              </w:rPr>
              <w:t>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887B1E">
            <w:pPr>
              <w:rPr>
                <w:rFonts w:ascii="Calibri" w:eastAsia="Calibri" w:hAnsi="Calibri" w:cs="Calibri"/>
                <w:color w:val="000000"/>
                <w:sz w:val="20"/>
                <w:szCs w:val="20"/>
              </w:rPr>
            </w:pPr>
            <w:r>
              <w:rPr>
                <w:rFonts w:ascii="Calibri" w:eastAsia="Calibri" w:hAnsi="Calibri" w:cs="Calibri"/>
                <w:color w:val="000000"/>
                <w:sz w:val="20"/>
                <w:szCs w:val="20"/>
              </w:rPr>
              <w:t>Foot print</w:t>
            </w:r>
            <w:r w:rsidR="00887B1E">
              <w:rPr>
                <w:rFonts w:ascii="Calibri" w:eastAsia="Calibri" w:hAnsi="Calibri" w:cs="Calibri"/>
                <w:color w:val="000000"/>
                <w:sz w:val="20"/>
                <w:szCs w:val="20"/>
              </w:rPr>
              <w:t xml:space="preserve">: </w:t>
            </w:r>
            <w:proofErr w:type="spellStart"/>
            <w:r w:rsidR="00887B1E">
              <w:rPr>
                <w:rFonts w:ascii="Calibri" w:eastAsia="Calibri" w:hAnsi="Calibri" w:cs="Calibri"/>
                <w:color w:val="000000"/>
                <w:sz w:val="20"/>
                <w:szCs w:val="20"/>
              </w:rPr>
              <w:t>approx</w:t>
            </w:r>
            <w:proofErr w:type="spellEnd"/>
            <w:r>
              <w:rPr>
                <w:rFonts w:ascii="Calibri" w:eastAsia="Calibri" w:hAnsi="Calibri" w:cs="Calibri"/>
                <w:color w:val="000000"/>
                <w:sz w:val="20"/>
                <w:szCs w:val="20"/>
              </w:rPr>
              <w:t xml:space="preserve"> (3</w:t>
            </w:r>
            <w:r w:rsidR="00887B1E">
              <w:rPr>
                <w:rFonts w:ascii="Calibri" w:eastAsia="Calibri" w:hAnsi="Calibri" w:cs="Calibri"/>
                <w:color w:val="000000"/>
                <w:sz w:val="20"/>
                <w:szCs w:val="20"/>
              </w:rPr>
              <w:t>50</w:t>
            </w:r>
            <w:r>
              <w:rPr>
                <w:rFonts w:ascii="Calibri" w:eastAsia="Calibri" w:hAnsi="Calibri" w:cs="Calibri"/>
                <w:color w:val="000000"/>
                <w:sz w:val="20"/>
                <w:szCs w:val="20"/>
              </w:rPr>
              <w:t>x</w:t>
            </w:r>
            <w:r w:rsidR="00887B1E">
              <w:rPr>
                <w:rFonts w:ascii="Calibri" w:eastAsia="Calibri" w:hAnsi="Calibri" w:cs="Calibri"/>
                <w:color w:val="000000"/>
                <w:sz w:val="20"/>
                <w:szCs w:val="20"/>
              </w:rPr>
              <w:t>30</w:t>
            </w:r>
            <w:r>
              <w:rPr>
                <w:rFonts w:ascii="Calibri" w:eastAsia="Calibri" w:hAnsi="Calibri" w:cs="Calibri"/>
                <w:color w:val="000000"/>
                <w:sz w:val="20"/>
                <w:szCs w:val="20"/>
              </w:rPr>
              <w:t>0x</w:t>
            </w:r>
            <w:r w:rsidR="00887B1E">
              <w:rPr>
                <w:rFonts w:ascii="Calibri" w:eastAsia="Calibri" w:hAnsi="Calibri" w:cs="Calibri"/>
                <w:color w:val="000000"/>
                <w:sz w:val="20"/>
                <w:szCs w:val="20"/>
              </w:rPr>
              <w:t>3</w:t>
            </w:r>
            <w:r>
              <w:rPr>
                <w:rFonts w:ascii="Calibri" w:eastAsia="Calibri" w:hAnsi="Calibri" w:cs="Calibri"/>
                <w:color w:val="000000"/>
                <w:sz w:val="20"/>
                <w:szCs w:val="20"/>
              </w:rPr>
              <w:t>00)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887B1E">
            <w:pPr>
              <w:rPr>
                <w:rFonts w:ascii="Calibri" w:eastAsia="Calibri" w:hAnsi="Calibri" w:cs="Calibri"/>
                <w:color w:val="000000"/>
                <w:sz w:val="20"/>
                <w:szCs w:val="20"/>
              </w:rPr>
            </w:pPr>
            <w:r>
              <w:rPr>
                <w:rFonts w:ascii="Calibri" w:eastAsia="Calibri" w:hAnsi="Calibri" w:cs="Calibri"/>
                <w:color w:val="000000"/>
                <w:sz w:val="20"/>
                <w:szCs w:val="20"/>
              </w:rPr>
              <w:t>Tube size</w:t>
            </w:r>
            <w:r w:rsidR="00887B1E">
              <w:rPr>
                <w:rFonts w:ascii="Calibri" w:eastAsia="Calibri" w:hAnsi="Calibri" w:cs="Calibri"/>
                <w:color w:val="000000"/>
                <w:sz w:val="20"/>
                <w:szCs w:val="20"/>
              </w:rPr>
              <w:t xml:space="preserve"> and capacity</w:t>
            </w:r>
            <w:r>
              <w:rPr>
                <w:rFonts w:ascii="Calibri" w:eastAsia="Calibri" w:hAnsi="Calibri" w:cs="Calibri"/>
                <w:color w:val="000000"/>
                <w:sz w:val="20"/>
                <w:szCs w:val="20"/>
              </w:rPr>
              <w:t>:</w:t>
            </w:r>
            <w:r w:rsidR="00887B1E">
              <w:rPr>
                <w:rFonts w:ascii="Calibri" w:eastAsia="Calibri" w:hAnsi="Calibri" w:cs="Calibri"/>
                <w:color w:val="000000"/>
                <w:sz w:val="20"/>
                <w:szCs w:val="20"/>
              </w:rPr>
              <w:t xml:space="preserve"> 1.0-2.0ml </w:t>
            </w:r>
            <w:r>
              <w:rPr>
                <w:rFonts w:ascii="Calibri" w:eastAsia="Calibri" w:hAnsi="Calibri" w:cs="Calibri"/>
                <w:color w:val="000000"/>
                <w:sz w:val="20"/>
                <w:szCs w:val="20"/>
              </w:rPr>
              <w:t>x</w:t>
            </w:r>
            <w:r w:rsidR="00887B1E">
              <w:rPr>
                <w:rFonts w:ascii="Calibri" w:eastAsia="Calibri" w:hAnsi="Calibri" w:cs="Calibri"/>
                <w:color w:val="000000"/>
                <w:sz w:val="20"/>
                <w:szCs w:val="20"/>
              </w:rPr>
              <w:t>24</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87B1E" w:rsidP="00F24E90">
            <w:pPr>
              <w:rPr>
                <w:rFonts w:ascii="Arial" w:eastAsia="Calibri" w:hAnsi="Arial" w:cs="Arial"/>
                <w:sz w:val="20"/>
                <w:szCs w:val="20"/>
              </w:rPr>
            </w:pPr>
            <w:r>
              <w:rPr>
                <w:rFonts w:ascii="Arial" w:eastAsia="Calibri" w:hAnsi="Arial" w:cs="Arial"/>
                <w:sz w:val="20"/>
                <w:szCs w:val="20"/>
              </w:rPr>
              <w:t>Aerosol tight rotor lid (safety cap)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87B1E" w:rsidP="00F24E90">
            <w:pPr>
              <w:rPr>
                <w:rFonts w:ascii="Arial" w:eastAsia="Calibri" w:hAnsi="Arial" w:cs="Arial"/>
                <w:sz w:val="20"/>
                <w:szCs w:val="20"/>
              </w:rPr>
            </w:pPr>
            <w:r>
              <w:rPr>
                <w:rFonts w:ascii="Arial" w:eastAsia="Calibri" w:hAnsi="Arial" w:cs="Arial"/>
                <w:sz w:val="20"/>
                <w:szCs w:val="20"/>
              </w:rPr>
              <w:t>Centrifuge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887B1E" w:rsidP="00F24E90">
            <w:pPr>
              <w:rPr>
                <w:rFonts w:ascii="Arial" w:eastAsia="Calibri" w:hAnsi="Arial" w:cs="Arial"/>
                <w:sz w:val="20"/>
                <w:szCs w:val="20"/>
              </w:rPr>
            </w:pPr>
            <w:r>
              <w:rPr>
                <w:rFonts w:ascii="Arial" w:eastAsia="Calibri" w:hAnsi="Arial" w:cs="Arial"/>
                <w:sz w:val="20"/>
                <w:szCs w:val="20"/>
              </w:rPr>
              <w:t>Lid window: essential for calibration purpose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887B1E" w:rsidP="00F24E90">
            <w:pPr>
              <w:rPr>
                <w:rFonts w:ascii="Arial" w:eastAsia="Calibri" w:hAnsi="Arial" w:cs="Arial"/>
                <w:sz w:val="20"/>
                <w:szCs w:val="20"/>
              </w:rPr>
            </w:pPr>
            <w:r>
              <w:rPr>
                <w:rFonts w:ascii="Arial" w:eastAsia="Calibri" w:hAnsi="Arial" w:cs="Arial"/>
                <w:sz w:val="20"/>
                <w:szCs w:val="20"/>
              </w:rPr>
              <w:t>Rotor: fixed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887B1E" w:rsidP="00F24E90">
            <w:pPr>
              <w:rPr>
                <w:rFonts w:ascii="Arial" w:eastAsia="Calibri" w:hAnsi="Arial" w:cs="Arial"/>
                <w:sz w:val="20"/>
                <w:szCs w:val="20"/>
              </w:rPr>
            </w:pPr>
            <w:proofErr w:type="spellStart"/>
            <w:r>
              <w:rPr>
                <w:rFonts w:ascii="Arial" w:eastAsia="Calibri" w:hAnsi="Arial" w:cs="Arial"/>
                <w:sz w:val="20"/>
                <w:szCs w:val="20"/>
              </w:rPr>
              <w:t>Microtube</w:t>
            </w:r>
            <w:proofErr w:type="spellEnd"/>
            <w:r>
              <w:rPr>
                <w:rFonts w:ascii="Arial" w:eastAsia="Calibri" w:hAnsi="Arial" w:cs="Arial"/>
                <w:sz w:val="20"/>
                <w:szCs w:val="20"/>
              </w:rPr>
              <w:t xml:space="preserve"> Max speed: 15</w:t>
            </w:r>
            <w:r w:rsidR="003C0101">
              <w:rPr>
                <w:rFonts w:ascii="Arial" w:eastAsia="Calibri" w:hAnsi="Arial" w:cs="Arial"/>
                <w:sz w:val="20"/>
                <w:szCs w:val="20"/>
              </w:rPr>
              <w:t> 000rpm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Spin time: quick spin and programmable (selection) up to30min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Acceleration speed: within 15s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Breaking speed: within 15s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Display: LED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Operation: soft touch sealed button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Centrifuge housing and rotor: Chemical resistant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3C0101" w:rsidP="00F24E90">
            <w:pPr>
              <w:rPr>
                <w:rFonts w:ascii="Arial" w:eastAsia="Calibri" w:hAnsi="Arial" w:cs="Arial"/>
                <w:sz w:val="20"/>
                <w:szCs w:val="20"/>
              </w:rPr>
            </w:pPr>
            <w:r>
              <w:rPr>
                <w:rFonts w:ascii="Arial" w:eastAsia="Calibri" w:hAnsi="Arial" w:cs="Arial"/>
                <w:sz w:val="20"/>
                <w:szCs w:val="20"/>
              </w:rPr>
              <w:t>Tube capacity</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3C0101"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Delivery period:4-8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Pr>
                <w:rFonts w:ascii="Arial" w:eastAsia="Calibri" w:hAnsi="Arial" w:cs="Arial"/>
                <w:sz w:val="20"/>
                <w:szCs w:val="20"/>
              </w:rPr>
              <w:t>Warrantee period:24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3C0101" w:rsidP="003C0101">
            <w:pPr>
              <w:rPr>
                <w:rFonts w:ascii="Arial" w:eastAsia="Calibri" w:hAnsi="Arial" w:cs="Arial"/>
                <w:sz w:val="20"/>
                <w:szCs w:val="20"/>
              </w:rPr>
            </w:pPr>
            <w:r>
              <w:rPr>
                <w:rFonts w:ascii="Arial" w:eastAsia="Calibri" w:hAnsi="Arial" w:cs="Arial"/>
                <w:sz w:val="20"/>
                <w:szCs w:val="20"/>
              </w:rPr>
              <w:t>Preventative maintenance minimum 2 in year within warrantee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r w:rsidR="003C0101">
              <w:rPr>
                <w:rFonts w:ascii="Arial" w:eastAsia="Calibri" w:hAnsi="Arial" w:cs="Arial"/>
                <w:sz w:val="20"/>
                <w:szCs w:val="20"/>
              </w:rPr>
              <w:t xml:space="preserve"> 3 years post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lastRenderedPageBreak/>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 xml:space="preserve">the time of bid </w:t>
      </w:r>
      <w:r>
        <w:rPr>
          <w:rFonts w:ascii="Arial" w:hAnsi="Arial" w:cs="Arial"/>
          <w:sz w:val="22"/>
          <w:szCs w:val="22"/>
        </w:rPr>
        <w:lastRenderedPageBreak/>
        <w:t>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87539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875395"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lastRenderedPageBreak/>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35" w:rsidRDefault="00117F35">
      <w:r>
        <w:separator/>
      </w:r>
    </w:p>
  </w:endnote>
  <w:endnote w:type="continuationSeparator" w:id="0">
    <w:p w:rsidR="00117F35" w:rsidRDefault="0011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C1" w:rsidRDefault="00117F3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D62C1" w:rsidRPr="001732F5" w:rsidRDefault="005D62C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36B5E">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D62C1" w:rsidRDefault="005D62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35" w:rsidRDefault="00117F35">
      <w:r>
        <w:separator/>
      </w:r>
    </w:p>
  </w:footnote>
  <w:footnote w:type="continuationSeparator" w:id="0">
    <w:p w:rsidR="00117F35" w:rsidRDefault="00117F35">
      <w:r>
        <w:continuationSeparator/>
      </w:r>
    </w:p>
  </w:footnote>
  <w:footnote w:id="1">
    <w:p w:rsidR="005D62C1" w:rsidRDefault="005D62C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D62C1" w:rsidRDefault="005D62C1" w:rsidP="003B72E5">
      <w:pPr>
        <w:pStyle w:val="FootnoteText"/>
      </w:pPr>
    </w:p>
    <w:p w:rsidR="005D62C1" w:rsidRDefault="005D62C1" w:rsidP="003B72E5">
      <w:pPr>
        <w:pStyle w:val="FootnoteText"/>
      </w:pPr>
    </w:p>
  </w:footnote>
  <w:footnote w:id="2">
    <w:p w:rsidR="005D62C1" w:rsidRDefault="005D62C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D62C1" w:rsidRPr="00B677D5" w:rsidTr="001B1D22">
      <w:trPr>
        <w:trHeight w:val="240"/>
      </w:trPr>
      <w:tc>
        <w:tcPr>
          <w:tcW w:w="4408" w:type="dxa"/>
        </w:tcPr>
        <w:p w:rsidR="005D62C1" w:rsidRPr="00B677D5" w:rsidRDefault="005D62C1"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D62C1" w:rsidRPr="002A1460" w:rsidRDefault="005D62C1" w:rsidP="00CD59BC">
          <w:pPr>
            <w:tabs>
              <w:tab w:val="left" w:pos="990"/>
              <w:tab w:val="left" w:pos="1170"/>
            </w:tabs>
            <w:contextualSpacing/>
            <w:rPr>
              <w:rFonts w:ascii="Arial Narrow" w:eastAsia="Arial Unicode MS" w:hAnsi="Arial Narrow" w:cs="Arial Unicode MS"/>
              <w:b/>
              <w:bCs/>
              <w:sz w:val="18"/>
              <w:szCs w:val="18"/>
            </w:rPr>
          </w:pPr>
        </w:p>
        <w:p w:rsidR="005D62C1" w:rsidRPr="002A1460" w:rsidRDefault="005D62C1"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 xml:space="preserve">ON: Supply, deliver and install </w:t>
          </w:r>
          <w:r w:rsidR="00887B1E">
            <w:rPr>
              <w:rFonts w:ascii="Arial Narrow" w:eastAsia="Arial Unicode MS" w:hAnsi="Arial Narrow" w:cs="Arial Unicode MS"/>
              <w:b/>
              <w:bCs/>
              <w:sz w:val="18"/>
              <w:szCs w:val="18"/>
            </w:rPr>
            <w:t xml:space="preserve">Micro </w:t>
          </w:r>
          <w:r>
            <w:rPr>
              <w:rFonts w:ascii="Arial Narrow" w:eastAsia="Arial Unicode MS" w:hAnsi="Arial Narrow" w:cs="Arial Unicode MS"/>
              <w:b/>
              <w:bCs/>
              <w:sz w:val="18"/>
              <w:szCs w:val="18"/>
            </w:rPr>
            <w:t>Centrifuge</w:t>
          </w:r>
        </w:p>
        <w:p w:rsidR="005D62C1" w:rsidRPr="00B677D5" w:rsidRDefault="005D62C1" w:rsidP="001E6EDB">
          <w:pPr>
            <w:pStyle w:val="Header"/>
            <w:tabs>
              <w:tab w:val="clear" w:pos="4320"/>
              <w:tab w:val="clear" w:pos="8640"/>
            </w:tabs>
            <w:ind w:left="-261" w:right="69"/>
            <w:jc w:val="center"/>
            <w:rPr>
              <w:rFonts w:ascii="Arial" w:hAnsi="Arial" w:cs="Arial"/>
              <w:sz w:val="18"/>
              <w:szCs w:val="18"/>
            </w:rPr>
          </w:pPr>
        </w:p>
      </w:tc>
    </w:tr>
  </w:tbl>
  <w:p w:rsidR="005D62C1" w:rsidRPr="00A90F6B" w:rsidRDefault="00117F3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45F4"/>
    <w:rsid w:val="000F7706"/>
    <w:rsid w:val="000F7D4B"/>
    <w:rsid w:val="00101CEE"/>
    <w:rsid w:val="001023E4"/>
    <w:rsid w:val="001033F6"/>
    <w:rsid w:val="001035FF"/>
    <w:rsid w:val="00105DC6"/>
    <w:rsid w:val="0010610C"/>
    <w:rsid w:val="0011035C"/>
    <w:rsid w:val="00112D49"/>
    <w:rsid w:val="001174DE"/>
    <w:rsid w:val="00117F35"/>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101"/>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581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079F"/>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3FC9"/>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707"/>
    <w:rsid w:val="00885F2B"/>
    <w:rsid w:val="0088726D"/>
    <w:rsid w:val="00887B1E"/>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0E7D"/>
    <w:rsid w:val="00B113AB"/>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D2802"/>
    <w:rsid w:val="00CD3E64"/>
    <w:rsid w:val="00CD59BC"/>
    <w:rsid w:val="00CD676F"/>
    <w:rsid w:val="00CD7AC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4E90"/>
    <w:rsid w:val="00F26BEC"/>
    <w:rsid w:val="00F27707"/>
    <w:rsid w:val="00F325CB"/>
    <w:rsid w:val="00F32AD4"/>
    <w:rsid w:val="00F34D1A"/>
    <w:rsid w:val="00F36883"/>
    <w:rsid w:val="00F36B5E"/>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C40693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809E-CECC-47E7-AA4C-AE9FD1E2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10346</Words>
  <Characters>58976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2022-07-19T07:56:00Z</cp:lastPrinted>
  <dcterms:created xsi:type="dcterms:W3CDTF">2022-09-27T17:16:00Z</dcterms:created>
  <dcterms:modified xsi:type="dcterms:W3CDTF">2022-09-28T11:03:00Z</dcterms:modified>
</cp:coreProperties>
</file>