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703531613"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A033F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RFQ0498982 -UMTATA</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spacing w:after="0" w:line="240" w:lineRule="auto"/>
              <w:rPr>
                <w:rFonts w:ascii="Arial" w:hAnsi="Arial" w:cs="Arial"/>
                <w:b/>
                <w:sz w:val="18"/>
                <w:szCs w:val="18"/>
              </w:rPr>
            </w:pPr>
            <w:r>
              <w:rPr>
                <w:rFonts w:ascii="Arial" w:hAnsi="Arial" w:cs="Arial"/>
                <w:b/>
                <w:sz w:val="18"/>
                <w:szCs w:val="18"/>
              </w:rPr>
              <w:t>21 January 2022</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RFQ</w:t>
            </w:r>
            <w:r w:rsidR="00CF2D01">
              <w:rPr>
                <w:rFonts w:ascii="Verdana" w:hAnsi="Verdana"/>
                <w:b/>
                <w:color w:val="FF0000"/>
                <w:sz w:val="18"/>
                <w:szCs w:val="18"/>
              </w:rPr>
              <w:t xml:space="preserve"> documents to be sent to Port Elizabeth</w:t>
            </w:r>
            <w:r>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526680">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680" w:rsidRPr="00526680" w:rsidRDefault="00A033F4" w:rsidP="0052668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sidRPr="00A033F4">
              <w:rPr>
                <w:rFonts w:ascii="Verdana" w:hAnsi="Verdana"/>
                <w:b/>
                <w:sz w:val="18"/>
                <w:szCs w:val="18"/>
              </w:rPr>
              <w:t>Please provide a once-off Pest Control to Laboratories at NHLS Mthatha, Nelson Mandela Academic Hospital, Sisson Street, Fortgale, Mthatha</w:t>
            </w:r>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b/>
              </w:rPr>
            </w:pPr>
            <w:r w:rsidRPr="00CF2D01">
              <w:rPr>
                <w:b/>
              </w:rPr>
              <w:t>C/O Buckingham &amp; Eastbourne Rd, Ground floor, Mount Croix,, PE</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CF2D01">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lastRenderedPageBreak/>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Copy of the B-BBEE Verification Certificate(s) issued by an authorised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Pr="00CF2D01" w:rsidRDefault="000B61A9" w:rsidP="00CF2D01">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CF2D01">
        <w:rPr>
          <w:rFonts w:ascii="Arial" w:eastAsia="Times" w:hAnsi="Arial" w:cs="Arial"/>
          <w:b/>
          <w:sz w:val="20"/>
          <w:szCs w:val="20"/>
          <w:lang w:eastAsia="en-US"/>
        </w:rPr>
        <w:t xml:space="preserve">l Specifications for </w:t>
      </w:r>
      <w:r w:rsidR="00CF2D01" w:rsidRPr="00CF2D01">
        <w:rPr>
          <w:rFonts w:ascii="Arial" w:eastAsia="Times" w:hAnsi="Arial" w:cs="Arial"/>
          <w:b/>
          <w:sz w:val="20"/>
          <w:szCs w:val="20"/>
          <w:lang w:eastAsia="en-US"/>
        </w:rPr>
        <w:t>ORTCH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2.1 Material safety data sheets must be supplied for every chemicals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lastRenderedPageBreak/>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tbl>
      <w:tblPr>
        <w:tblW w:w="10360" w:type="dxa"/>
        <w:tblLook w:val="04A0" w:firstRow="1" w:lastRow="0" w:firstColumn="1" w:lastColumn="0" w:noHBand="0" w:noVBand="1"/>
      </w:tblPr>
      <w:tblGrid>
        <w:gridCol w:w="2380"/>
        <w:gridCol w:w="2160"/>
        <w:gridCol w:w="2260"/>
        <w:gridCol w:w="1580"/>
        <w:gridCol w:w="1980"/>
      </w:tblGrid>
      <w:tr w:rsidR="00821216" w:rsidRPr="00821216" w:rsidTr="00821216">
        <w:trPr>
          <w:trHeight w:val="288"/>
        </w:trPr>
        <w:tc>
          <w:tcPr>
            <w:tcW w:w="23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Prepared By :</w:t>
            </w:r>
          </w:p>
        </w:tc>
        <w:tc>
          <w:tcPr>
            <w:tcW w:w="21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Camroedien Kader</w:t>
            </w: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288"/>
        </w:trPr>
        <w:tc>
          <w:tcPr>
            <w:tcW w:w="23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Date :</w:t>
            </w:r>
          </w:p>
        </w:tc>
        <w:tc>
          <w:tcPr>
            <w:tcW w:w="21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12/01/2022</w:t>
            </w: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288"/>
        </w:trPr>
        <w:tc>
          <w:tcPr>
            <w:tcW w:w="23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xml:space="preserve">Reviewed By : </w:t>
            </w:r>
          </w:p>
        </w:tc>
        <w:tc>
          <w:tcPr>
            <w:tcW w:w="21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288"/>
        </w:trPr>
        <w:tc>
          <w:tcPr>
            <w:tcW w:w="23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Date :</w:t>
            </w:r>
          </w:p>
        </w:tc>
        <w:tc>
          <w:tcPr>
            <w:tcW w:w="21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288"/>
        </w:trPr>
        <w:tc>
          <w:tcPr>
            <w:tcW w:w="4540" w:type="dxa"/>
            <w:gridSpan w:val="2"/>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PROJECT NAME : Pest Control</w:t>
            </w: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288"/>
        </w:trPr>
        <w:tc>
          <w:tcPr>
            <w:tcW w:w="4540" w:type="dxa"/>
            <w:gridSpan w:val="2"/>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LABORATORY / REGION ( Eastern Cape)</w:t>
            </w:r>
          </w:p>
        </w:tc>
        <w:tc>
          <w:tcPr>
            <w:tcW w:w="226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p>
        </w:tc>
        <w:tc>
          <w:tcPr>
            <w:tcW w:w="15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c>
          <w:tcPr>
            <w:tcW w:w="1980" w:type="dxa"/>
            <w:tcBorders>
              <w:top w:val="nil"/>
              <w:left w:val="nil"/>
              <w:bottom w:val="nil"/>
              <w:right w:val="nil"/>
            </w:tcBorders>
            <w:shd w:val="clear" w:color="auto" w:fill="auto"/>
            <w:noWrap/>
            <w:vAlign w:val="bottom"/>
            <w:hideMark/>
          </w:tcPr>
          <w:p w:rsidR="00821216" w:rsidRPr="00821216" w:rsidRDefault="00821216" w:rsidP="00821216">
            <w:pPr>
              <w:spacing w:after="0" w:line="240" w:lineRule="auto"/>
              <w:rPr>
                <w:rFonts w:ascii="Times New Roman" w:hAnsi="Times New Roman"/>
                <w:sz w:val="20"/>
                <w:szCs w:val="20"/>
                <w:lang w:val="en-US" w:eastAsia="en-US"/>
              </w:rPr>
            </w:pPr>
          </w:p>
        </w:tc>
      </w:tr>
      <w:tr w:rsidR="00821216" w:rsidRPr="00821216" w:rsidTr="00821216">
        <w:trPr>
          <w:trHeight w:val="576"/>
        </w:trPr>
        <w:tc>
          <w:tcPr>
            <w:tcW w:w="2380" w:type="dxa"/>
            <w:tcBorders>
              <w:top w:val="single" w:sz="4" w:space="0" w:color="auto"/>
              <w:left w:val="single" w:sz="4" w:space="0" w:color="auto"/>
              <w:bottom w:val="nil"/>
              <w:right w:val="single" w:sz="4" w:space="0" w:color="auto"/>
            </w:tcBorders>
            <w:shd w:val="clear" w:color="000000" w:fill="BFBFBF"/>
            <w:vAlign w:val="center"/>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LABORATORY NAME / REGION</w:t>
            </w:r>
          </w:p>
        </w:tc>
        <w:tc>
          <w:tcPr>
            <w:tcW w:w="2160" w:type="dxa"/>
            <w:tcBorders>
              <w:top w:val="single" w:sz="4" w:space="0" w:color="auto"/>
              <w:left w:val="nil"/>
              <w:bottom w:val="nil"/>
              <w:right w:val="single" w:sz="4" w:space="0" w:color="auto"/>
            </w:tcBorders>
            <w:shd w:val="clear" w:color="000000" w:fill="BFBFBF"/>
            <w:vAlign w:val="center"/>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DESCRIPTION / ACTIVITIES</w:t>
            </w:r>
          </w:p>
        </w:tc>
        <w:tc>
          <w:tcPr>
            <w:tcW w:w="2260" w:type="dxa"/>
            <w:tcBorders>
              <w:top w:val="single" w:sz="4" w:space="0" w:color="auto"/>
              <w:left w:val="nil"/>
              <w:bottom w:val="nil"/>
              <w:right w:val="single" w:sz="4" w:space="0" w:color="auto"/>
            </w:tcBorders>
            <w:shd w:val="clear" w:color="000000" w:fill="BFBFBF"/>
            <w:vAlign w:val="center"/>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Pest Control</w:t>
            </w:r>
          </w:p>
        </w:tc>
        <w:tc>
          <w:tcPr>
            <w:tcW w:w="1580" w:type="dxa"/>
            <w:tcBorders>
              <w:top w:val="single" w:sz="4" w:space="0" w:color="auto"/>
              <w:left w:val="nil"/>
              <w:bottom w:val="nil"/>
              <w:right w:val="single" w:sz="4" w:space="0" w:color="auto"/>
            </w:tcBorders>
            <w:shd w:val="clear" w:color="000000" w:fill="BFBFBF"/>
            <w:noWrap/>
            <w:vAlign w:val="center"/>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xml:space="preserve">QTY </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DATE THE SERVICE IS DUE</w:t>
            </w:r>
          </w:p>
        </w:tc>
      </w:tr>
      <w:tr w:rsidR="00821216" w:rsidRPr="00821216" w:rsidTr="00821216">
        <w:trPr>
          <w:trHeight w:val="1440"/>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NMAL</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Pest Control of the whole business unit including rest rooms, storerooms and tea room</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Yes</w:t>
            </w:r>
          </w:p>
        </w:tc>
        <w:tc>
          <w:tcPr>
            <w:tcW w:w="1580" w:type="dxa"/>
            <w:tcBorders>
              <w:top w:val="single" w:sz="4" w:space="0" w:color="auto"/>
              <w:left w:val="nil"/>
              <w:bottom w:val="nil"/>
              <w:right w:val="single" w:sz="4" w:space="0" w:color="auto"/>
            </w:tcBorders>
            <w:shd w:val="clear" w:color="000000" w:fill="FFFFFF"/>
            <w:vAlign w:val="center"/>
            <w:hideMark/>
          </w:tcPr>
          <w:p w:rsidR="00821216" w:rsidRPr="00821216" w:rsidRDefault="00821216" w:rsidP="00821216">
            <w:pPr>
              <w:spacing w:after="0" w:line="240" w:lineRule="auto"/>
              <w:jc w:val="center"/>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35 lab rooms and 5 rest rooms</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xml:space="preserve">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single" w:sz="4" w:space="0" w:color="auto"/>
              <w:left w:val="nil"/>
              <w:bottom w:val="nil"/>
              <w:right w:val="single" w:sz="4" w:space="0" w:color="auto"/>
            </w:tcBorders>
            <w:shd w:val="clear" w:color="auto" w:fill="auto"/>
            <w:vAlign w:val="center"/>
            <w:hideMark/>
          </w:tcPr>
          <w:p w:rsidR="00821216" w:rsidRPr="00821216" w:rsidRDefault="00821216" w:rsidP="00821216">
            <w:pPr>
              <w:spacing w:after="0" w:line="240" w:lineRule="auto"/>
              <w:jc w:val="center"/>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jc w:val="center"/>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lastRenderedPageBreak/>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auto" w:fill="auto"/>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645"/>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675"/>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675"/>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noWrap/>
            <w:vAlign w:val="center"/>
            <w:hideMark/>
          </w:tcPr>
          <w:p w:rsidR="00821216" w:rsidRPr="00821216" w:rsidRDefault="00821216" w:rsidP="00821216">
            <w:pPr>
              <w:spacing w:after="0" w:line="240" w:lineRule="auto"/>
              <w:jc w:val="center"/>
              <w:rPr>
                <w:rFonts w:ascii="Tahoma" w:hAnsi="Tahoma" w:cs="Tahoma"/>
                <w:b/>
                <w:bCs/>
                <w:color w:val="000000"/>
                <w:sz w:val="20"/>
                <w:szCs w:val="20"/>
                <w:lang w:val="en-US" w:eastAsia="en-US"/>
              </w:rPr>
            </w:pPr>
            <w:r w:rsidRPr="00821216">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r w:rsidR="00821216" w:rsidRPr="00821216" w:rsidTr="00821216">
        <w:trPr>
          <w:trHeight w:val="28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2160" w:type="dxa"/>
            <w:tcBorders>
              <w:top w:val="single" w:sz="4" w:space="0" w:color="auto"/>
              <w:left w:val="nil"/>
              <w:bottom w:val="single" w:sz="4" w:space="0" w:color="auto"/>
              <w:right w:val="single" w:sz="4" w:space="0" w:color="auto"/>
            </w:tcBorders>
            <w:shd w:val="clear" w:color="000000" w:fill="FFFFFF"/>
            <w:vAlign w:val="bottom"/>
            <w:hideMark/>
          </w:tcPr>
          <w:p w:rsidR="00821216" w:rsidRPr="00821216" w:rsidRDefault="00821216" w:rsidP="00821216">
            <w:pPr>
              <w:spacing w:after="0" w:line="240" w:lineRule="auto"/>
              <w:rPr>
                <w:rFonts w:cs="Calibri"/>
                <w:b/>
                <w:bCs/>
                <w:color w:val="000000"/>
                <w:lang w:val="en-US" w:eastAsia="en-US"/>
              </w:rPr>
            </w:pPr>
            <w:r w:rsidRPr="00821216">
              <w:rPr>
                <w:rFonts w:cs="Calibri"/>
                <w:b/>
                <w:bCs/>
                <w:color w:val="000000"/>
                <w:lang w:val="en-US" w:eastAsia="en-US"/>
              </w:rPr>
              <w:t> </w:t>
            </w:r>
          </w:p>
        </w:tc>
        <w:tc>
          <w:tcPr>
            <w:tcW w:w="2260" w:type="dxa"/>
            <w:tcBorders>
              <w:top w:val="nil"/>
              <w:left w:val="nil"/>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580" w:type="dxa"/>
            <w:tcBorders>
              <w:top w:val="nil"/>
              <w:left w:val="nil"/>
              <w:bottom w:val="single" w:sz="4" w:space="0" w:color="auto"/>
              <w:right w:val="single" w:sz="4" w:space="0" w:color="auto"/>
            </w:tcBorders>
            <w:shd w:val="clear" w:color="000000" w:fill="FFFFFF"/>
            <w:vAlign w:val="center"/>
            <w:hideMark/>
          </w:tcPr>
          <w:p w:rsidR="00821216" w:rsidRPr="00821216" w:rsidRDefault="00821216" w:rsidP="00821216">
            <w:pPr>
              <w:spacing w:after="0" w:line="240" w:lineRule="auto"/>
              <w:jc w:val="center"/>
              <w:rPr>
                <w:rFonts w:ascii="Verdana" w:hAnsi="Verdana" w:cs="Calibri"/>
                <w:b/>
                <w:bCs/>
                <w:color w:val="000000"/>
                <w:sz w:val="20"/>
                <w:szCs w:val="20"/>
                <w:lang w:val="en-US" w:eastAsia="en-US"/>
              </w:rPr>
            </w:pPr>
            <w:r w:rsidRPr="00821216">
              <w:rPr>
                <w:rFonts w:ascii="Verdana" w:hAnsi="Verdana" w:cs="Calibri"/>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000000" w:fill="FFFFFF"/>
            <w:noWrap/>
            <w:vAlign w:val="bottom"/>
            <w:hideMark/>
          </w:tcPr>
          <w:p w:rsidR="00821216" w:rsidRPr="00821216" w:rsidRDefault="00821216" w:rsidP="00821216">
            <w:pPr>
              <w:spacing w:after="0" w:line="240" w:lineRule="auto"/>
              <w:rPr>
                <w:rFonts w:cs="Calibri"/>
                <w:color w:val="000000"/>
                <w:lang w:val="en-US" w:eastAsia="en-US"/>
              </w:rPr>
            </w:pPr>
            <w:r w:rsidRPr="00821216">
              <w:rPr>
                <w:rFonts w:cs="Calibri"/>
                <w:color w:val="000000"/>
                <w:lang w:val="en-US" w:eastAsia="en-US"/>
              </w:rPr>
              <w:t> </w:t>
            </w:r>
          </w:p>
        </w:tc>
      </w:tr>
    </w:tbl>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Please indicate your total RFQ price here, Inc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7"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state,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authorised representative declare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State employee number / Persal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eastAsia="en-ZA"/>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0"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1"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2"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sz w:val="20"/>
          <w:szCs w:val="20"/>
        </w:rPr>
        <w:t>pe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purch-aser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t>RFQ FOR THE SUPPLY/PROVISION OF</w:t>
      </w:r>
    </w:p>
    <w:p w:rsidR="000B61A9" w:rsidRPr="000705A6" w:rsidRDefault="00A033F4" w:rsidP="00CF2D01">
      <w:pPr>
        <w:spacing w:line="200" w:lineRule="exact"/>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RFQ0498982 - UMTATA</w:t>
      </w:r>
      <w:r w:rsidR="000705A6" w:rsidRPr="000705A6">
        <w:rPr>
          <w:rFonts w:ascii="Verdana" w:eastAsia="Arial Unicode MS" w:hAnsi="Verdana" w:cs="Arial Unicode MS"/>
          <w:b/>
          <w:color w:val="FF0000"/>
          <w:sz w:val="18"/>
          <w:szCs w:val="18"/>
        </w:rPr>
        <w:t xml:space="preserve"> - </w:t>
      </w:r>
      <w:r w:rsidRPr="00A033F4">
        <w:rPr>
          <w:rFonts w:ascii="Verdana" w:eastAsia="Arial Unicode MS" w:hAnsi="Verdana" w:cs="Arial Unicode MS"/>
          <w:b/>
          <w:color w:val="FF0000"/>
          <w:sz w:val="18"/>
          <w:szCs w:val="18"/>
        </w:rPr>
        <w:t>Please provide a once-off Pest Control to Laboratories at NHLS Mthatha, Nelson Mandela Academic Hospital, Sisson Street, Fortgale, Mthatha</w:t>
      </w: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5"/>
  </w:num>
  <w:num w:numId="11">
    <w:abstractNumId w:val="5"/>
  </w:num>
  <w:num w:numId="12">
    <w:abstractNumId w:val="11"/>
  </w:num>
  <w:num w:numId="13">
    <w:abstractNumId w:val="14"/>
  </w:num>
  <w:num w:numId="14">
    <w:abstractNumId w:val="0"/>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4"/>
  </w:num>
  <w:num w:numId="22">
    <w:abstractNumId w:val="19"/>
  </w:num>
  <w:num w:numId="23">
    <w:abstractNumId w:val="25"/>
  </w:num>
  <w:num w:numId="24">
    <w:abstractNumId w:val="16"/>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705A6"/>
    <w:rsid w:val="000B61A9"/>
    <w:rsid w:val="00250F0C"/>
    <w:rsid w:val="00526680"/>
    <w:rsid w:val="005A1EAB"/>
    <w:rsid w:val="00821216"/>
    <w:rsid w:val="00A033F4"/>
    <w:rsid w:val="00B539F9"/>
    <w:rsid w:val="00C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3322">
      <w:bodyDiv w:val="1"/>
      <w:marLeft w:val="0"/>
      <w:marRight w:val="0"/>
      <w:marTop w:val="0"/>
      <w:marBottom w:val="0"/>
      <w:divBdr>
        <w:top w:val="none" w:sz="0" w:space="0" w:color="auto"/>
        <w:left w:val="none" w:sz="0" w:space="0" w:color="auto"/>
        <w:bottom w:val="none" w:sz="0" w:space="0" w:color="auto"/>
        <w:right w:val="none" w:sz="0" w:space="0" w:color="auto"/>
      </w:divBdr>
    </w:div>
    <w:div w:id="757795249">
      <w:bodyDiv w:val="1"/>
      <w:marLeft w:val="0"/>
      <w:marRight w:val="0"/>
      <w:marTop w:val="0"/>
      <w:marBottom w:val="0"/>
      <w:divBdr>
        <w:top w:val="none" w:sz="0" w:space="0" w:color="auto"/>
        <w:left w:val="none" w:sz="0" w:space="0" w:color="auto"/>
        <w:bottom w:val="none" w:sz="0" w:space="0" w:color="auto"/>
        <w:right w:val="none" w:sz="0" w:space="0" w:color="auto"/>
      </w:divBdr>
    </w:div>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330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sars.gov.za/" TargetMode="External"/><Relationship Id="rId12"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sbank.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12620</Words>
  <Characters>71939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James Mabaso</cp:lastModifiedBy>
  <cp:revision>2</cp:revision>
  <dcterms:created xsi:type="dcterms:W3CDTF">2022-01-12T20:27:00Z</dcterms:created>
  <dcterms:modified xsi:type="dcterms:W3CDTF">2022-01-12T20:27:00Z</dcterms:modified>
</cp:coreProperties>
</file>