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73317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164E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1726764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164EE"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016438">
              <w:rPr>
                <w:rFonts w:ascii="Verdana" w:eastAsia="Arial Unicode MS" w:hAnsi="Verdana" w:cs="Arial Unicode MS"/>
                <w:b/>
                <w:sz w:val="18"/>
                <w:szCs w:val="18"/>
              </w:rPr>
              <w:t xml:space="preserve">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E7BC5" w:rsidP="00546A74">
            <w:pPr>
              <w:spacing w:after="0" w:line="240" w:lineRule="auto"/>
              <w:rPr>
                <w:rFonts w:cs="Arial"/>
                <w:b/>
                <w:sz w:val="18"/>
                <w:szCs w:val="18"/>
              </w:rPr>
            </w:pPr>
            <w:r>
              <w:rPr>
                <w:rFonts w:ascii="Times New Roman" w:hAnsi="Times New Roman"/>
                <w:b/>
                <w:sz w:val="18"/>
                <w:szCs w:val="18"/>
              </w:rPr>
              <w:t xml:space="preserve">Please supply </w:t>
            </w:r>
            <w:r w:rsidR="00A164EE">
              <w:rPr>
                <w:rFonts w:ascii="Times New Roman" w:hAnsi="Times New Roman"/>
                <w:b/>
                <w:sz w:val="18"/>
                <w:szCs w:val="18"/>
              </w:rPr>
              <w:t xml:space="preserve">and deliver 26 x ZEBRA DT BARCODE LABEL PRINTERS GK420d to </w:t>
            </w:r>
            <w:r w:rsidR="00A164EE" w:rsidRPr="00A164EE">
              <w:rPr>
                <w:rFonts w:ascii="Times New Roman" w:hAnsi="Times New Roman"/>
                <w:b/>
                <w:sz w:val="18"/>
                <w:szCs w:val="18"/>
              </w:rPr>
              <w:t>C/O Buckingham &amp; Eastbourne Rd, Ground floor, Mount Croix,, 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A164EE" w:rsidP="003856E7">
      <w:pPr>
        <w:spacing w:after="200" w:line="276" w:lineRule="auto"/>
        <w:rPr>
          <w:rFonts w:asciiTheme="minorHAnsi" w:eastAsiaTheme="minorEastAsia" w:hAnsiTheme="minorHAnsi" w:cstheme="minorBidi"/>
          <w:lang w:val="en-ZA" w:eastAsia="en-ZA"/>
        </w:rPr>
      </w:pPr>
      <w:r w:rsidRPr="00A164EE">
        <w:rPr>
          <w:rFonts w:asciiTheme="minorHAnsi" w:eastAsiaTheme="minorEastAsia" w:hAnsiTheme="minorHAnsi" w:cstheme="minorBidi"/>
          <w:noProof/>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A164EE"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RFQ1726764 - </w:t>
      </w:r>
      <w:bookmarkStart w:id="1" w:name="_GoBack"/>
      <w:bookmarkEnd w:id="1"/>
      <w:r w:rsidRPr="00A164EE">
        <w:rPr>
          <w:rFonts w:ascii="Verdana" w:eastAsia="Arial Unicode MS" w:hAnsi="Verdana" w:cs="Arial Unicode MS"/>
          <w:b/>
          <w:color w:val="FF0000"/>
          <w:sz w:val="18"/>
          <w:szCs w:val="18"/>
        </w:rPr>
        <w:t xml:space="preserve">Please supply and deliver 26 x ZEBRA DT BARCODE LABEL PRINTERS GK420d to C/O Buckingham &amp; Eastbourne Rd, Ground floor, Mount </w:t>
      </w:r>
      <w:proofErr w:type="gramStart"/>
      <w:r w:rsidRPr="00A164EE">
        <w:rPr>
          <w:rFonts w:ascii="Verdana" w:eastAsia="Arial Unicode MS" w:hAnsi="Verdana" w:cs="Arial Unicode MS"/>
          <w:b/>
          <w:color w:val="FF0000"/>
          <w:sz w:val="18"/>
          <w:szCs w:val="18"/>
        </w:rPr>
        <w:t>Croix,,</w:t>
      </w:r>
      <w:proofErr w:type="gramEnd"/>
      <w:r w:rsidRPr="00A164EE">
        <w:rPr>
          <w:rFonts w:ascii="Verdana" w:eastAsia="Arial Unicode MS" w:hAnsi="Verdana" w:cs="Arial Unicode MS"/>
          <w:b/>
          <w:color w:val="FF0000"/>
          <w:sz w:val="18"/>
          <w:szCs w:val="18"/>
        </w:rPr>
        <w:t xml:space="preserve">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55" w:rsidRDefault="00525D55">
      <w:pPr>
        <w:spacing w:after="0" w:line="240" w:lineRule="auto"/>
      </w:pPr>
      <w:r>
        <w:separator/>
      </w:r>
    </w:p>
  </w:endnote>
  <w:endnote w:type="continuationSeparator" w:id="0">
    <w:p w:rsidR="00525D55" w:rsidRDefault="0052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A164EE">
      <w:rPr>
        <w:noProof/>
      </w:rPr>
      <w:t>7</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55" w:rsidRDefault="00525D55">
      <w:pPr>
        <w:spacing w:after="0" w:line="240" w:lineRule="auto"/>
      </w:pPr>
      <w:r>
        <w:separator/>
      </w:r>
    </w:p>
  </w:footnote>
  <w:footnote w:type="continuationSeparator" w:id="0">
    <w:p w:rsidR="00525D55" w:rsidRDefault="00525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CB4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5AA0-0370-4F28-97A6-0C397557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11975</Words>
  <Characters>68260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2021-10-06T09:44:00Z</cp:lastPrinted>
  <dcterms:created xsi:type="dcterms:W3CDTF">2021-10-14T14:13:00Z</dcterms:created>
  <dcterms:modified xsi:type="dcterms:W3CDTF">2021-10-14T14:13:00Z</dcterms:modified>
</cp:coreProperties>
</file>