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8pt;height:41.4pt" o:ole="" o:preferrelative="t" stroked="f">
            <v:imagedata r:id="rId7" o:title=""/>
          </v:rect>
          <o:OLEObject Type="Embed" ProgID="StaticMetafile" ShapeID="rectole0000000000" DrawAspect="Content" ObjectID="_1677481373"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F91F15" w:rsidRDefault="00D346DB" w:rsidP="00D346DB">
            <w:pPr>
              <w:spacing w:after="0"/>
              <w:ind w:left="2"/>
              <w:rPr>
                <w:rFonts w:ascii="Verdana" w:eastAsia="Verdana" w:hAnsi="Verdana" w:cs="Verdana"/>
                <w:b/>
                <w:color w:val="000000"/>
                <w:sz w:val="20"/>
              </w:rPr>
            </w:pPr>
            <w:r>
              <w:rPr>
                <w:rFonts w:ascii="Verdana" w:eastAsia="Verdana" w:hAnsi="Verdana" w:cs="Verdana"/>
                <w:b/>
                <w:color w:val="000000"/>
                <w:sz w:val="20"/>
              </w:rPr>
              <w:t>RFQ 636365</w:t>
            </w:r>
          </w:p>
          <w:p w:rsidR="00D346DB" w:rsidRPr="00F91F15" w:rsidRDefault="00D346DB" w:rsidP="00D346DB">
            <w:pPr>
              <w:spacing w:after="0"/>
              <w:ind w:left="2"/>
              <w:rPr>
                <w:rFonts w:ascii="Verdana" w:eastAsia="Verdana" w:hAnsi="Verdana" w:cs="Verdana"/>
                <w:b/>
                <w:color w:val="000000"/>
                <w:sz w:val="20"/>
              </w:rPr>
            </w:pPr>
            <w:r>
              <w:rPr>
                <w:rFonts w:ascii="Verdana" w:eastAsia="Verdana" w:hAnsi="Verdana" w:cs="Verdana"/>
                <w:b/>
                <w:color w:val="000000"/>
                <w:sz w:val="20"/>
              </w:rPr>
              <w:t xml:space="preserve">ONCE OF ANNUAL SERVICE OF MICROSCOPES FOR FREE STATE REGION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8C01A7" w:rsidP="0075531F">
            <w:pPr>
              <w:spacing w:after="0"/>
              <w:rPr>
                <w:b/>
              </w:rPr>
            </w:pPr>
            <w:r>
              <w:rPr>
                <w:b/>
              </w:rPr>
              <w:t>24 March 2021</w:t>
            </w: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822009" w:rsidP="00822009">
            <w:pPr>
              <w:spacing w:after="0"/>
            </w:pPr>
            <w:r>
              <w:rPr>
                <w:rFonts w:ascii="Verdana" w:eastAsia="Verdana" w:hAnsi="Verdana" w:cs="Verdana"/>
                <w:b/>
                <w:color w:val="000000"/>
                <w:sz w:val="20"/>
              </w:rPr>
              <w:t>90</w:t>
            </w:r>
            <w:r w:rsidR="00C04723">
              <w:rPr>
                <w:rFonts w:ascii="Verdana" w:eastAsia="Verdana" w:hAnsi="Verdana" w:cs="Verdana"/>
                <w:b/>
                <w:color w:val="000000"/>
                <w:sz w:val="20"/>
              </w:rPr>
              <w:t xml:space="preserve"> days (commencing from the RFQ Closing Date)</w:t>
            </w:r>
            <w:r w:rsidR="00C04723">
              <w:rPr>
                <w:rFonts w:ascii="Calibri" w:eastAsia="Calibri" w:hAnsi="Calibri" w:cs="Calibri"/>
                <w:color w:val="000000"/>
              </w:rPr>
              <w:t xml:space="preserve">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6514F4" w:rsidTr="0038362E">
        <w:trPr>
          <w:trHeight w:val="139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7A26BE" w:rsidRPr="00F54580" w:rsidRDefault="008D5415" w:rsidP="00F54580">
            <w:pPr>
              <w:spacing w:after="0"/>
              <w:rPr>
                <w:rFonts w:cs="Tahoma"/>
                <w:b/>
                <w:color w:val="FF0000"/>
                <w:sz w:val="20"/>
                <w:szCs w:val="20"/>
              </w:rPr>
            </w:pPr>
            <w:r w:rsidRPr="00E70449">
              <w:rPr>
                <w:rFonts w:cs="Tahoma"/>
                <w:b/>
                <w:color w:val="FF0000"/>
                <w:sz w:val="20"/>
                <w:szCs w:val="20"/>
                <w:u w:val="single"/>
              </w:rPr>
              <w:t xml:space="preserve">PLEASE INDICATE ON OUR SPECIFICATION SHEET IF YOU COMPLY OR NOT SIGN AND STAMP THE SPEC </w:t>
            </w:r>
            <w:r w:rsidR="00DD359D" w:rsidRPr="00E70449">
              <w:rPr>
                <w:rFonts w:cs="Tahoma"/>
                <w:b/>
                <w:color w:val="FF0000"/>
                <w:sz w:val="20"/>
                <w:szCs w:val="20"/>
                <w:u w:val="single"/>
              </w:rPr>
              <w:t>SHEET</w:t>
            </w:r>
            <w:r w:rsidR="00DD359D">
              <w:rPr>
                <w:rFonts w:cs="Tahoma"/>
                <w:b/>
                <w:color w:val="FF0000"/>
                <w:sz w:val="20"/>
                <w:szCs w:val="20"/>
              </w:rPr>
              <w:t>.</w:t>
            </w:r>
            <w:r w:rsidR="006514F4">
              <w:rPr>
                <w:rFonts w:cs="Tahoma"/>
                <w:b/>
                <w:color w:val="FF0000"/>
                <w:sz w:val="20"/>
                <w:szCs w:val="20"/>
              </w:rPr>
              <w:t xml:space="preserve"> Full CSD Report </w:t>
            </w:r>
            <w:r w:rsidR="00822B15">
              <w:rPr>
                <w:rFonts w:cs="Tahoma"/>
                <w:b/>
                <w:color w:val="FF0000"/>
                <w:sz w:val="20"/>
                <w:szCs w:val="20"/>
              </w:rPr>
              <w:t>and mus</w:t>
            </w:r>
            <w:r w:rsidR="00F91F15">
              <w:rPr>
                <w:rFonts w:cs="Tahoma"/>
                <w:b/>
                <w:color w:val="FF0000"/>
                <w:sz w:val="20"/>
                <w:szCs w:val="20"/>
              </w:rPr>
              <w:t xml:space="preserve">t within in the RFQ date </w:t>
            </w:r>
          </w:p>
        </w:tc>
      </w:tr>
      <w:tr w:rsidR="006514F4">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873980" w:rsidRPr="0038362E" w:rsidRDefault="008C01A7" w:rsidP="00F91F15">
            <w:pPr>
              <w:rPr>
                <w:b/>
              </w:rPr>
            </w:pPr>
            <w:r>
              <w:rPr>
                <w:b/>
              </w:rPr>
              <w:t xml:space="preserve">Once off annual service of Microscopes for Free state Region </w:t>
            </w:r>
          </w:p>
        </w:tc>
      </w:tr>
      <w:tr w:rsidR="006514F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142338" w:rsidRPr="00181442" w:rsidRDefault="00142338"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tbl>
            <w:tblPr>
              <w:tblW w:w="0" w:type="auto"/>
              <w:jc w:val="center"/>
              <w:tblCellMar>
                <w:left w:w="10" w:type="dxa"/>
                <w:right w:w="10" w:type="dxa"/>
              </w:tblCellMar>
              <w:tblLook w:val="04A0" w:firstRow="1" w:lastRow="0" w:firstColumn="1" w:lastColumn="0" w:noHBand="0" w:noVBand="1"/>
            </w:tblPr>
            <w:tblGrid>
              <w:gridCol w:w="3634"/>
            </w:tblGrid>
            <w:tr w:rsidR="0075531F" w:rsidRPr="0075531F" w:rsidTr="0075531F">
              <w:trPr>
                <w:trHeight w:val="1"/>
                <w:jc w:val="center"/>
              </w:trPr>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Only hand deliver to this address</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 xml:space="preserve"> NHLS MAIN RECEPTION RFQ BOX</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 xml:space="preserve">Corner Hospital &amp; De </w:t>
                  </w:r>
                  <w:proofErr w:type="spellStart"/>
                  <w:r w:rsidRPr="0075531F">
                    <w:rPr>
                      <w:rFonts w:ascii="Calibri" w:eastAsia="Times New Roman" w:hAnsi="Calibri" w:cs="Times New Roman"/>
                      <w:sz w:val="21"/>
                      <w:szCs w:val="21"/>
                    </w:rPr>
                    <w:t>Korte</w:t>
                  </w:r>
                  <w:proofErr w:type="spellEnd"/>
                  <w:r w:rsidRPr="0075531F">
                    <w:rPr>
                      <w:rFonts w:ascii="Calibri" w:eastAsia="Times New Roman" w:hAnsi="Calibri" w:cs="Times New Roman"/>
                      <w:sz w:val="21"/>
                      <w:szCs w:val="21"/>
                    </w:rPr>
                    <w:t xml:space="preserve"> Street </w:t>
                  </w:r>
                </w:p>
                <w:p w:rsidR="0075531F" w:rsidRPr="0075531F" w:rsidRDefault="0075531F" w:rsidP="0075531F">
                  <w:pPr>
                    <w:spacing w:after="0" w:line="240" w:lineRule="auto"/>
                    <w:rPr>
                      <w:rFonts w:ascii="Calibri" w:eastAsia="Times New Roman" w:hAnsi="Calibri" w:cs="Times New Roman"/>
                      <w:sz w:val="21"/>
                      <w:szCs w:val="21"/>
                    </w:rPr>
                  </w:pPr>
                  <w:proofErr w:type="spellStart"/>
                  <w:r w:rsidRPr="0075531F">
                    <w:rPr>
                      <w:rFonts w:ascii="Calibri" w:eastAsia="Times New Roman" w:hAnsi="Calibri" w:cs="Times New Roman"/>
                      <w:sz w:val="21"/>
                      <w:szCs w:val="21"/>
                    </w:rPr>
                    <w:t>Braamfontein</w:t>
                  </w:r>
                  <w:proofErr w:type="spellEnd"/>
                  <w:r w:rsidRPr="0075531F">
                    <w:rPr>
                      <w:rFonts w:ascii="Calibri" w:eastAsia="Times New Roman" w:hAnsi="Calibri" w:cs="Times New Roman"/>
                      <w:sz w:val="21"/>
                      <w:szCs w:val="21"/>
                    </w:rPr>
                    <w:t xml:space="preserve"> security office</w:t>
                  </w:r>
                </w:p>
                <w:p w:rsidR="0075531F" w:rsidRPr="0075531F" w:rsidRDefault="0075531F" w:rsidP="0075531F">
                  <w:pPr>
                    <w:spacing w:after="0" w:line="240" w:lineRule="auto"/>
                    <w:rPr>
                      <w:rFonts w:ascii="Calibri" w:eastAsia="Times New Roman" w:hAnsi="Calibri" w:cs="Times New Roman"/>
                      <w:sz w:val="21"/>
                      <w:szCs w:val="21"/>
                    </w:rPr>
                  </w:pPr>
                  <w:r w:rsidRPr="0075531F">
                    <w:rPr>
                      <w:rFonts w:ascii="Calibri" w:eastAsia="Times New Roman" w:hAnsi="Calibri" w:cs="Times New Roman"/>
                      <w:sz w:val="21"/>
                      <w:szCs w:val="21"/>
                    </w:rPr>
                    <w:t>J</w:t>
                  </w:r>
                  <w:r w:rsidR="008C01A7">
                    <w:rPr>
                      <w:rFonts w:ascii="Calibri" w:eastAsia="Times New Roman" w:hAnsi="Calibri" w:cs="Times New Roman"/>
                      <w:sz w:val="21"/>
                      <w:szCs w:val="21"/>
                    </w:rPr>
                    <w:t xml:space="preserve">ohannesburg BY NO later 24 March 2021 </w:t>
                  </w:r>
                  <w:r w:rsidRPr="0075531F">
                    <w:rPr>
                      <w:rFonts w:ascii="Calibri" w:eastAsia="Times New Roman" w:hAnsi="Calibri" w:cs="Times New Roman"/>
                      <w:sz w:val="21"/>
                      <w:szCs w:val="21"/>
                    </w:rPr>
                    <w:t>@11h00. It must be cle</w:t>
                  </w:r>
                  <w:r>
                    <w:rPr>
                      <w:rFonts w:ascii="Calibri" w:eastAsia="Times New Roman" w:hAnsi="Calibri" w:cs="Times New Roman"/>
                      <w:sz w:val="21"/>
                      <w:szCs w:val="21"/>
                    </w:rPr>
                    <w:t>a</w:t>
                  </w:r>
                  <w:r w:rsidR="00822009">
                    <w:rPr>
                      <w:rFonts w:ascii="Calibri" w:eastAsia="Times New Roman" w:hAnsi="Calibri" w:cs="Times New Roman"/>
                      <w:sz w:val="21"/>
                      <w:szCs w:val="21"/>
                    </w:rPr>
                    <w:t>r</w:t>
                  </w:r>
                  <w:r w:rsidR="008C01A7">
                    <w:rPr>
                      <w:rFonts w:ascii="Calibri" w:eastAsia="Times New Roman" w:hAnsi="Calibri" w:cs="Times New Roman"/>
                      <w:sz w:val="21"/>
                      <w:szCs w:val="21"/>
                    </w:rPr>
                    <w:t xml:space="preserve">ly be marked with RFQ NR 636365 </w:t>
                  </w:r>
                  <w:r w:rsidRPr="0075531F">
                    <w:rPr>
                      <w:rFonts w:ascii="Calibri" w:eastAsia="Times New Roman" w:hAnsi="Calibri" w:cs="Times New Roman"/>
                      <w:sz w:val="21"/>
                      <w:szCs w:val="21"/>
                    </w:rPr>
                    <w:t>ATT M GRIMSELL</w:t>
                  </w:r>
                </w:p>
                <w:p w:rsidR="0075531F" w:rsidRPr="0075531F" w:rsidRDefault="0075531F" w:rsidP="0075531F">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Times New Roman"/>
                      <w:sz w:val="20"/>
                      <w:szCs w:val="20"/>
                      <w:lang w:val="en-GB" w:eastAsia="en-GB"/>
                    </w:rPr>
                  </w:pPr>
                  <w:r w:rsidRPr="0075531F">
                    <w:rPr>
                      <w:rFonts w:ascii="Calibri" w:eastAsia="Times New Roman" w:hAnsi="Calibri" w:cs="Times New Roman"/>
                      <w:sz w:val="21"/>
                      <w:szCs w:val="21"/>
                    </w:rPr>
                    <w:t>BLOEMFONTEIN FREE STATE OFFICE</w:t>
                  </w:r>
                </w:p>
              </w:tc>
            </w:tr>
          </w:tbl>
          <w:p w:rsidR="0006576D" w:rsidRPr="00142338" w:rsidRDefault="0006576D" w:rsidP="006E34F8">
            <w:pPr>
              <w:pStyle w:val="NoSpacing"/>
            </w:pP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proofErr w:type="gramStart"/>
            <w:r>
              <w:rPr>
                <w:rFonts w:ascii="Verdana" w:eastAsia="Verdana" w:hAnsi="Verdana" w:cs="Verdana"/>
                <w:b/>
                <w:color w:val="000000"/>
                <w:sz w:val="20"/>
                <w:u w:val="single"/>
              </w:rPr>
              <w:t>)</w:t>
            </w:r>
            <w:r>
              <w:rPr>
                <w:rFonts w:ascii="Verdana" w:eastAsia="Verdana" w:hAnsi="Verdana" w:cs="Verdana"/>
                <w:b/>
                <w:color w:val="000000"/>
                <w:sz w:val="20"/>
              </w:rPr>
              <w:t xml:space="preserve"> ...................................</w:t>
            </w:r>
            <w:proofErr w:type="gramEnd"/>
            <w:r>
              <w:rPr>
                <w:rFonts w:ascii="Verdana" w:eastAsia="Verdana" w:hAnsi="Verdana" w:cs="Verdana"/>
                <w:b/>
                <w:color w:val="000000"/>
                <w:sz w:val="20"/>
              </w:rPr>
              <w:t xml:space="preserve">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party</w:t>
      </w:r>
      <w:proofErr w:type="gramEnd"/>
      <w:r>
        <w:rPr>
          <w:rFonts w:ascii="Verdana" w:eastAsia="Verdana" w:hAnsi="Verdana" w:cs="Verdana"/>
          <w:color w:val="000000"/>
          <w:sz w:val="20"/>
        </w:rPr>
        <w:t xml:space="preserve">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verification</w:t>
      </w:r>
      <w:proofErr w:type="gramEnd"/>
      <w:r>
        <w:rPr>
          <w:rFonts w:ascii="Verdana" w:eastAsia="Verdana" w:hAnsi="Verdana" w:cs="Verdana"/>
          <w:color w:val="000000"/>
          <w:sz w:val="20"/>
        </w:rPr>
        <w:t xml:space="preserve">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proofErr w:type="gramStart"/>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for</w:t>
      </w:r>
      <w:proofErr w:type="gramEnd"/>
      <w:r>
        <w:rPr>
          <w:rFonts w:ascii="Verdana" w:eastAsia="Verdana" w:hAnsi="Verdana" w:cs="Verdana"/>
          <w:color w:val="000000"/>
          <w:sz w:val="20"/>
        </w:rPr>
        <w:t xml:space="preserve">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w:t>
      </w:r>
      <w:proofErr w:type="gramStart"/>
      <w:r>
        <w:rPr>
          <w:rFonts w:ascii="Verdana" w:eastAsia="Verdana" w:hAnsi="Verdana" w:cs="Verdana"/>
          <w:b/>
          <w:color w:val="000000"/>
          <w:sz w:val="20"/>
        </w:rPr>
        <w:t>1.ADMINISTRATIVE</w:t>
      </w:r>
      <w:proofErr w:type="gramEnd"/>
      <w:r>
        <w:rPr>
          <w:rFonts w:ascii="Verdana" w:eastAsia="Verdana" w:hAnsi="Verdana" w:cs="Verdana"/>
          <w:b/>
          <w:color w:val="000000"/>
          <w:sz w:val="20"/>
        </w:rPr>
        <w:t xml:space="preser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 xml:space="preserve">Should functionality be included in the RFQ as a threshold, the RFQ document must clearly state the minimum score to be achieved if bidders are to be further evaluated on price and </w:t>
      </w:r>
      <w:proofErr w:type="gramStart"/>
      <w:r>
        <w:rPr>
          <w:rFonts w:ascii="Verdana" w:eastAsia="Verdana" w:hAnsi="Verdana" w:cs="Verdana"/>
          <w:color w:val="000000"/>
          <w:sz w:val="20"/>
        </w:rPr>
        <w:t>preference.</w:t>
      </w:r>
      <w:proofErr w:type="gramEnd"/>
      <w:r>
        <w:rPr>
          <w:rFonts w:ascii="Verdana" w:eastAsia="Verdana" w:hAnsi="Verdana" w:cs="Verdana"/>
          <w:color w:val="000000"/>
          <w:sz w:val="20"/>
        </w:rPr>
        <w:t xml:space="preserv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w:t>
      </w:r>
      <w:proofErr w:type="gramStart"/>
      <w:r>
        <w:rPr>
          <w:rFonts w:ascii="Verdana" w:eastAsia="Verdana" w:hAnsi="Verdana" w:cs="Verdana"/>
          <w:color w:val="FF0000"/>
          <w:sz w:val="20"/>
        </w:rPr>
        <w:t>if</w:t>
      </w:r>
      <w:proofErr w:type="gramEnd"/>
      <w:r>
        <w:rPr>
          <w:rFonts w:ascii="Verdana" w:eastAsia="Verdana" w:hAnsi="Verdana" w:cs="Verdana"/>
          <w:color w:val="FF0000"/>
          <w:sz w:val="20"/>
        </w:rPr>
        <w:t xml:space="preserve">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8C01A7" w:rsidRDefault="008C01A7">
      <w:pPr>
        <w:spacing w:after="141" w:line="266" w:lineRule="auto"/>
        <w:ind w:right="69"/>
        <w:jc w:val="both"/>
        <w:rPr>
          <w:rFonts w:ascii="Verdana" w:eastAsia="Verdana" w:hAnsi="Verdana" w:cs="Verdana"/>
          <w:color w:val="000000"/>
          <w:sz w:val="20"/>
        </w:rPr>
      </w:pPr>
    </w:p>
    <w:p w:rsidR="008C01A7" w:rsidRDefault="008C01A7">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1D0022">
      <w:pPr>
        <w:spacing w:after="141" w:line="266" w:lineRule="auto"/>
        <w:ind w:right="69"/>
        <w:jc w:val="both"/>
        <w:rPr>
          <w:rFonts w:ascii="Verdana" w:eastAsia="Verdana" w:hAnsi="Verdana" w:cs="Verdana"/>
          <w:color w:val="000000"/>
          <w:sz w:val="20"/>
        </w:rPr>
      </w:pPr>
    </w:p>
    <w:p w:rsidR="001D0022" w:rsidRDefault="00F91F15">
      <w:pPr>
        <w:spacing w:after="141" w:line="266" w:lineRule="auto"/>
        <w:ind w:right="69"/>
        <w:jc w:val="both"/>
        <w:rPr>
          <w:rFonts w:ascii="Verdana" w:eastAsia="Verdana" w:hAnsi="Verdana" w:cs="Verdana"/>
          <w:b/>
          <w:color w:val="000000"/>
          <w:sz w:val="20"/>
          <w:u w:val="single"/>
        </w:rPr>
      </w:pPr>
      <w:r w:rsidRPr="00F91F15">
        <w:rPr>
          <w:rFonts w:ascii="Verdana" w:eastAsia="Verdana" w:hAnsi="Verdana" w:cs="Verdana"/>
          <w:b/>
          <w:color w:val="000000"/>
          <w:sz w:val="20"/>
          <w:u w:val="single"/>
        </w:rPr>
        <w:lastRenderedPageBreak/>
        <w:t xml:space="preserve">Scope of work </w:t>
      </w:r>
      <w:r w:rsidR="00D346DB">
        <w:rPr>
          <w:rFonts w:ascii="Verdana" w:eastAsia="Verdana" w:hAnsi="Verdana" w:cs="Verdana"/>
          <w:b/>
          <w:color w:val="000000"/>
          <w:sz w:val="20"/>
          <w:u w:val="single"/>
        </w:rPr>
        <w:t xml:space="preserve">RFQ </w:t>
      </w:r>
      <w:r w:rsidR="008C01A7">
        <w:rPr>
          <w:rFonts w:ascii="Verdana" w:eastAsia="Verdana" w:hAnsi="Verdana" w:cs="Verdana"/>
          <w:b/>
          <w:color w:val="000000"/>
          <w:sz w:val="20"/>
          <w:u w:val="single"/>
        </w:rPr>
        <w:t xml:space="preserve">636365 once off annual service of Microscopes </w:t>
      </w:r>
      <w:r w:rsidR="00154DBB">
        <w:rPr>
          <w:rFonts w:ascii="Verdana" w:eastAsia="Verdana" w:hAnsi="Verdana" w:cs="Verdana"/>
          <w:b/>
          <w:color w:val="000000"/>
          <w:sz w:val="20"/>
          <w:u w:val="single"/>
        </w:rPr>
        <w:t xml:space="preserve">for Free state Region </w:t>
      </w:r>
    </w:p>
    <w:p w:rsidR="00F91F15" w:rsidRPr="00154DBB" w:rsidRDefault="00154DBB" w:rsidP="00154DBB">
      <w:pPr>
        <w:pStyle w:val="ListParagraph"/>
        <w:numPr>
          <w:ilvl w:val="0"/>
          <w:numId w:val="198"/>
        </w:numPr>
        <w:spacing w:after="141" w:line="266" w:lineRule="auto"/>
        <w:ind w:right="69"/>
        <w:jc w:val="both"/>
        <w:rPr>
          <w:rFonts w:ascii="Verdana" w:eastAsia="Verdana" w:hAnsi="Verdana" w:cs="Verdana"/>
          <w:color w:val="FF0000"/>
          <w:sz w:val="20"/>
        </w:rPr>
      </w:pPr>
      <w:r w:rsidRPr="00154DBB">
        <w:rPr>
          <w:rFonts w:ascii="Verdana" w:eastAsia="Verdana" w:hAnsi="Verdana" w:cs="Verdana"/>
          <w:color w:val="FF0000"/>
          <w:sz w:val="20"/>
        </w:rPr>
        <w:t>Take note of scope of work for the service</w:t>
      </w:r>
    </w:p>
    <w:p w:rsidR="00F91F15" w:rsidRDefault="00F91F15" w:rsidP="00F91F15">
      <w:pPr>
        <w:numPr>
          <w:ilvl w:val="0"/>
          <w:numId w:val="198"/>
        </w:numPr>
        <w:rPr>
          <w:b/>
          <w:color w:val="FF0000"/>
        </w:rPr>
      </w:pPr>
      <w:r>
        <w:rPr>
          <w:b/>
          <w:color w:val="FF0000"/>
        </w:rPr>
        <w:t xml:space="preserve">MUST </w:t>
      </w:r>
      <w:r w:rsidRPr="00E70449">
        <w:rPr>
          <w:b/>
          <w:color w:val="FF0000"/>
        </w:rPr>
        <w:t>Please complete specification sheet if you comply or not, sign and stamp the sheet</w:t>
      </w:r>
    </w:p>
    <w:p w:rsidR="00F91F15" w:rsidRDefault="00F91F15" w:rsidP="00F91F15">
      <w:pPr>
        <w:numPr>
          <w:ilvl w:val="0"/>
          <w:numId w:val="198"/>
        </w:numPr>
        <w:rPr>
          <w:color w:val="FF0000"/>
        </w:rPr>
      </w:pPr>
      <w:r w:rsidRPr="00E70449">
        <w:rPr>
          <w:color w:val="FF0000"/>
        </w:rPr>
        <w:t>Quote price excluding and inclusive of vat and</w:t>
      </w:r>
      <w:r>
        <w:rPr>
          <w:color w:val="FF0000"/>
        </w:rPr>
        <w:t xml:space="preserve"> all other charges must be included, transport </w:t>
      </w:r>
      <w:proofErr w:type="spellStart"/>
      <w:r>
        <w:rPr>
          <w:color w:val="FF0000"/>
        </w:rPr>
        <w:t>eg</w:t>
      </w:r>
      <w:proofErr w:type="spellEnd"/>
      <w:r>
        <w:rPr>
          <w:color w:val="FF0000"/>
        </w:rPr>
        <w:t>.</w:t>
      </w:r>
    </w:p>
    <w:p w:rsidR="00C05F53" w:rsidRDefault="00C05F53" w:rsidP="00F91F15">
      <w:pPr>
        <w:numPr>
          <w:ilvl w:val="0"/>
          <w:numId w:val="198"/>
        </w:numPr>
        <w:rPr>
          <w:color w:val="FF0000"/>
        </w:rPr>
      </w:pPr>
      <w:r>
        <w:rPr>
          <w:color w:val="FF0000"/>
        </w:rPr>
        <w:t xml:space="preserve">Quote to be valid for 90 days </w:t>
      </w:r>
    </w:p>
    <w:p w:rsidR="00F91F15" w:rsidRDefault="00F91F15" w:rsidP="00F91F15">
      <w:pPr>
        <w:numPr>
          <w:ilvl w:val="0"/>
          <w:numId w:val="198"/>
        </w:numPr>
        <w:rPr>
          <w:color w:val="FF0000"/>
        </w:rPr>
      </w:pPr>
      <w:r>
        <w:rPr>
          <w:color w:val="FF0000"/>
        </w:rPr>
        <w:t xml:space="preserve">Make sure to give a detailed written quotation </w:t>
      </w:r>
      <w:r w:rsidR="00154DBB">
        <w:rPr>
          <w:color w:val="FF0000"/>
        </w:rPr>
        <w:t xml:space="preserve">for each lab (HAND DELIVERED TO BRAAMFONTEIN) </w:t>
      </w:r>
    </w:p>
    <w:p w:rsidR="00154DBB" w:rsidRDefault="00154DBB" w:rsidP="00F91F15">
      <w:pPr>
        <w:numPr>
          <w:ilvl w:val="0"/>
          <w:numId w:val="198"/>
        </w:numPr>
        <w:rPr>
          <w:color w:val="FF0000"/>
        </w:rPr>
      </w:pPr>
      <w:r>
        <w:rPr>
          <w:color w:val="FF0000"/>
        </w:rPr>
        <w:t xml:space="preserve">Separate detailed quote to be furnished for any parts/ repairs </w:t>
      </w:r>
    </w:p>
    <w:p w:rsidR="003E3540" w:rsidRDefault="00F91F15" w:rsidP="003E3540">
      <w:r>
        <w:t xml:space="preserve">Contact person for </w:t>
      </w:r>
      <w:r w:rsidR="00154DBB">
        <w:t xml:space="preserve">any further enquiries to this Lance </w:t>
      </w:r>
      <w:proofErr w:type="gramStart"/>
      <w:r w:rsidR="00154DBB">
        <w:t xml:space="preserve">Hildebrand </w:t>
      </w:r>
      <w:r w:rsidR="00154DBB" w:rsidRPr="00154DBB">
        <w:rPr>
          <w:rFonts w:ascii="Arial" w:hAnsi="Arial" w:cs="Arial"/>
          <w:color w:val="000000" w:themeColor="text1"/>
          <w:sz w:val="20"/>
          <w:szCs w:val="20"/>
        </w:rPr>
        <w:t>:</w:t>
      </w:r>
      <w:proofErr w:type="gramEnd"/>
      <w:r w:rsidR="00154DBB" w:rsidRPr="00154DBB">
        <w:rPr>
          <w:rFonts w:ascii="Arial" w:hAnsi="Arial" w:cs="Arial"/>
          <w:color w:val="000000" w:themeColor="text1"/>
          <w:sz w:val="20"/>
          <w:szCs w:val="20"/>
        </w:rPr>
        <w:t xml:space="preserve"> : 051 4059353</w:t>
      </w:r>
      <w:r w:rsidR="00154DBB">
        <w:rPr>
          <w:rFonts w:ascii="Arial" w:hAnsi="Arial" w:cs="Arial"/>
          <w:color w:val="000000" w:themeColor="text1"/>
          <w:sz w:val="20"/>
          <w:szCs w:val="20"/>
        </w:rPr>
        <w:t xml:space="preserve">/ </w:t>
      </w:r>
      <w:r w:rsidR="00154DBB" w:rsidRPr="00154DBB">
        <w:rPr>
          <w:rFonts w:ascii="Arial" w:hAnsi="Arial" w:cs="Arial"/>
          <w:color w:val="000000" w:themeColor="text1"/>
          <w:sz w:val="20"/>
          <w:szCs w:val="20"/>
        </w:rPr>
        <w:t xml:space="preserve"> 084 254 2420</w:t>
      </w:r>
    </w:p>
    <w:p w:rsidR="003E3540" w:rsidRPr="00222A94" w:rsidRDefault="00222A94" w:rsidP="003E3540">
      <w:pPr>
        <w:rPr>
          <w:u w:val="single"/>
        </w:rPr>
      </w:pPr>
      <w:bookmarkStart w:id="0" w:name="_GoBack"/>
      <w:r w:rsidRPr="00222A94">
        <w:rPr>
          <w:u w:val="single"/>
        </w:rPr>
        <w:t xml:space="preserve">THE FOLLOWING LABORATORIES </w:t>
      </w:r>
    </w:p>
    <w:bookmarkEnd w:id="0"/>
    <w:p w:rsidR="00222A94" w:rsidRDefault="00222A94" w:rsidP="00222A94">
      <w:pPr>
        <w:pStyle w:val="NoSpacing"/>
      </w:pPr>
      <w:r>
        <w:t xml:space="preserve">PELONOMI </w:t>
      </w:r>
    </w:p>
    <w:p w:rsidR="00222A94" w:rsidRDefault="00222A94" w:rsidP="00222A94">
      <w:pPr>
        <w:pStyle w:val="NoSpacing"/>
      </w:pPr>
      <w:r>
        <w:t>KROONSTAD</w:t>
      </w:r>
    </w:p>
    <w:p w:rsidR="00222A94" w:rsidRDefault="00222A94" w:rsidP="00222A94">
      <w:pPr>
        <w:pStyle w:val="NoSpacing"/>
      </w:pPr>
      <w:r>
        <w:t>BOTSHABELO</w:t>
      </w:r>
    </w:p>
    <w:p w:rsidR="00222A94" w:rsidRDefault="00222A94" w:rsidP="00222A94">
      <w:pPr>
        <w:pStyle w:val="NoSpacing"/>
      </w:pPr>
      <w:r>
        <w:t xml:space="preserve">SASOLBURG </w:t>
      </w:r>
    </w:p>
    <w:p w:rsidR="00222A94" w:rsidRDefault="00222A94" w:rsidP="00222A94">
      <w:pPr>
        <w:pStyle w:val="NoSpacing"/>
      </w:pPr>
      <w:r>
        <w:t>WELKOM</w:t>
      </w:r>
    </w:p>
    <w:p w:rsidR="00222A94" w:rsidRDefault="00222A94" w:rsidP="00222A94">
      <w:pPr>
        <w:pStyle w:val="NoSpacing"/>
      </w:pPr>
      <w:r>
        <w:t xml:space="preserve">BETHLEHEM </w:t>
      </w:r>
    </w:p>
    <w:p w:rsidR="00222A94" w:rsidRDefault="00222A94" w:rsidP="00222A94">
      <w:pPr>
        <w:pStyle w:val="NoSpacing"/>
      </w:pPr>
      <w:r>
        <w:t xml:space="preserve">MANAPO </w:t>
      </w:r>
    </w:p>
    <w:p w:rsidR="003E3540" w:rsidRDefault="00154DBB" w:rsidP="003E3540">
      <w:r w:rsidRPr="00D346DB">
        <w:rPr>
          <w:noProof/>
        </w:rPr>
        <w:lastRenderedPageBreak/>
        <w:drawing>
          <wp:inline distT="0" distB="0" distL="0" distR="0" wp14:anchorId="65DA7D85" wp14:editId="0A0E4C0F">
            <wp:extent cx="5972810" cy="5435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5435600"/>
                    </a:xfrm>
                    <a:prstGeom prst="rect">
                      <a:avLst/>
                    </a:prstGeom>
                    <a:noFill/>
                    <a:ln>
                      <a:noFill/>
                    </a:ln>
                  </pic:spPr>
                </pic:pic>
              </a:graphicData>
            </a:graphic>
          </wp:inline>
        </w:drawing>
      </w:r>
    </w:p>
    <w:p w:rsidR="00D346DB" w:rsidRDefault="00D346DB" w:rsidP="003E3540"/>
    <w:p w:rsidR="00D346DB" w:rsidRDefault="00D346DB" w:rsidP="003E3540"/>
    <w:p w:rsidR="00D346DB" w:rsidRDefault="00D346DB" w:rsidP="003E3540"/>
    <w:p w:rsidR="00D346DB" w:rsidRDefault="00D346DB" w:rsidP="003E3540"/>
    <w:p w:rsidR="00D346DB" w:rsidRDefault="00D346DB" w:rsidP="003E3540"/>
    <w:p w:rsidR="00D346DB" w:rsidRDefault="00D346DB" w:rsidP="003E3540"/>
    <w:p w:rsidR="00D346DB" w:rsidRDefault="00D346DB" w:rsidP="003E3540"/>
    <w:p w:rsidR="00D346DB" w:rsidRDefault="00D346DB" w:rsidP="003E3540"/>
    <w:p w:rsidR="00D346DB" w:rsidRDefault="00D346DB" w:rsidP="003E3540"/>
    <w:p w:rsidR="00154DBB" w:rsidRDefault="00154DBB" w:rsidP="003E3540">
      <w:pPr>
        <w:rPr>
          <w:b/>
          <w:u w:val="single"/>
        </w:rPr>
      </w:pPr>
    </w:p>
    <w:p w:rsidR="00154DBB" w:rsidRDefault="00154DBB" w:rsidP="003E3540">
      <w:pPr>
        <w:rPr>
          <w:b/>
          <w:u w:val="single"/>
        </w:rPr>
      </w:pPr>
    </w:p>
    <w:p w:rsidR="00154DBB" w:rsidRDefault="00154DBB" w:rsidP="003E3540">
      <w:pPr>
        <w:rPr>
          <w:b/>
          <w:u w:val="single"/>
        </w:rPr>
      </w:pPr>
    </w:p>
    <w:p w:rsidR="00154DBB" w:rsidRDefault="00154DBB" w:rsidP="003E3540">
      <w:pPr>
        <w:rPr>
          <w:b/>
          <w:u w:val="single"/>
        </w:rPr>
      </w:pPr>
    </w:p>
    <w:p w:rsidR="00154DBB" w:rsidRDefault="00154DBB" w:rsidP="003E3540">
      <w:pPr>
        <w:rPr>
          <w:b/>
          <w:u w:val="single"/>
        </w:rPr>
      </w:pPr>
    </w:p>
    <w:p w:rsidR="00D346DB" w:rsidRDefault="00D346DB" w:rsidP="003E3540">
      <w:r w:rsidRPr="00D346DB">
        <w:rPr>
          <w:noProof/>
        </w:rPr>
        <w:drawing>
          <wp:inline distT="0" distB="0" distL="0" distR="0">
            <wp:extent cx="5972810" cy="6340832"/>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6340832"/>
                    </a:xfrm>
                    <a:prstGeom prst="rect">
                      <a:avLst/>
                    </a:prstGeom>
                    <a:noFill/>
                    <a:ln>
                      <a:noFill/>
                    </a:ln>
                  </pic:spPr>
                </pic:pic>
              </a:graphicData>
            </a:graphic>
          </wp:inline>
        </w:drawing>
      </w:r>
    </w:p>
    <w:p w:rsidR="00D346DB" w:rsidRDefault="00D346DB" w:rsidP="003E3540"/>
    <w:p w:rsidR="00D346DB" w:rsidRDefault="00D346DB" w:rsidP="003E3540"/>
    <w:p w:rsidR="00D346DB" w:rsidRDefault="00D346DB" w:rsidP="003E3540"/>
    <w:p w:rsidR="003E3540" w:rsidRDefault="003E3540" w:rsidP="003E3540"/>
    <w:p w:rsidR="003E3540" w:rsidRDefault="003E3540" w:rsidP="003E3540"/>
    <w:p w:rsidR="00F91F15" w:rsidRDefault="00F91F15" w:rsidP="003E3540">
      <w:pPr>
        <w:rPr>
          <w:b/>
          <w:u w:val="single"/>
        </w:rPr>
      </w:pPr>
    </w:p>
    <w:p w:rsidR="00763C5D" w:rsidRDefault="00763C5D" w:rsidP="000E6341">
      <w:pPr>
        <w:spacing w:after="141" w:line="266" w:lineRule="auto"/>
        <w:ind w:right="69"/>
        <w:jc w:val="both"/>
        <w:rPr>
          <w:rFonts w:ascii="Verdana" w:eastAsia="Verdana" w:hAnsi="Verdana" w:cs="Verdana"/>
          <w:color w:val="000000"/>
        </w:rPr>
      </w:pPr>
    </w:p>
    <w:p w:rsidR="00A807DD" w:rsidRDefault="00C425A3">
      <w:pPr>
        <w:spacing w:after="141" w:line="266" w:lineRule="auto"/>
        <w:ind w:right="69"/>
        <w:jc w:val="both"/>
        <w:rPr>
          <w:rFonts w:ascii="Times New Roman" w:eastAsia="Times New Roman" w:hAnsi="Times New Roman" w:cs="Times New Roman"/>
          <w:b/>
          <w:sz w:val="28"/>
        </w:rPr>
      </w:pPr>
      <w:r w:rsidRPr="00C425A3">
        <w:rPr>
          <w:rFonts w:ascii="Verdana" w:eastAsia="Verdana" w:hAnsi="Verdana" w:cs="Verdana"/>
          <w:b/>
          <w:noProof/>
          <w:sz w:val="28"/>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r w:rsidR="0075531F">
              <w:rPr>
                <w:rFonts w:ascii="Verdana" w:eastAsia="Verdana" w:hAnsi="Verdana" w:cs="Verdana"/>
                <w:color w:val="000000"/>
                <w:sz w:val="20"/>
              </w:rPr>
              <w:t>N/A</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w:t>
      </w:r>
      <w:proofErr w:type="gramStart"/>
      <w:r>
        <w:rPr>
          <w:rFonts w:ascii="Verdana" w:eastAsia="Verdana" w:hAnsi="Verdana" w:cs="Verdana"/>
          <w:color w:val="000000"/>
          <w:sz w:val="20"/>
        </w:rPr>
        <w:t>_</w:t>
      </w:r>
      <w:r>
        <w:rPr>
          <w:rFonts w:ascii="Verdana" w:eastAsia="Verdana" w:hAnsi="Verdana" w:cs="Verdana"/>
          <w:b/>
          <w:color w:val="000000"/>
          <w:sz w:val="20"/>
        </w:rPr>
        <w:t>(</w:t>
      </w:r>
      <w:proofErr w:type="gramEnd"/>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 xml:space="preserve">RFQ </w:t>
      </w:r>
      <w:proofErr w:type="gramStart"/>
      <w:r>
        <w:rPr>
          <w:rFonts w:ascii="Verdana" w:eastAsia="Verdana" w:hAnsi="Verdana" w:cs="Verdana"/>
          <w:b/>
          <w:color w:val="000000"/>
          <w:sz w:val="20"/>
        </w:rPr>
        <w:t>Number</w:t>
      </w:r>
      <w:r>
        <w:rPr>
          <w:rFonts w:ascii="Verdana" w:eastAsia="Verdana" w:hAnsi="Verdana" w:cs="Verdana"/>
          <w:color w:val="000000"/>
          <w:sz w:val="20"/>
        </w:rPr>
        <w:t xml:space="preserve"> .........................................</w:t>
      </w:r>
      <w:proofErr w:type="gramEnd"/>
      <w:r>
        <w:rPr>
          <w:rFonts w:ascii="Verdana" w:eastAsia="Verdana" w:hAnsi="Verdana" w:cs="Verdana"/>
          <w:color w:val="000000"/>
          <w:sz w:val="20"/>
        </w:rPr>
        <w:t xml:space="preserve">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CC1786" w:rsidRDefault="00CC1786">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5.PREFERENTIAL</w:t>
      </w:r>
      <w:proofErr w:type="gramEnd"/>
      <w:r>
        <w:rPr>
          <w:rFonts w:ascii="Verdana" w:eastAsia="Verdana" w:hAnsi="Verdana" w:cs="Verdana"/>
          <w:b/>
          <w:color w:val="000080"/>
          <w:sz w:val="20"/>
        </w:rPr>
        <w:t xml:space="preserve">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proofErr w:type="gramStart"/>
      <w:r>
        <w:rPr>
          <w:rFonts w:ascii="Verdana" w:eastAsia="Verdana" w:hAnsi="Verdana" w:cs="Verdana"/>
          <w:b/>
          <w:color w:val="000000"/>
          <w:sz w:val="20"/>
        </w:rPr>
        <w:t>definitions</w:t>
      </w:r>
      <w:proofErr w:type="gramEnd"/>
      <w:r>
        <w:rPr>
          <w:rFonts w:ascii="Verdana" w:eastAsia="Verdana" w:hAnsi="Verdana" w:cs="Verdana"/>
          <w:b/>
          <w:color w:val="000000"/>
          <w:sz w:val="20"/>
        </w:rPr>
        <w:t xml:space="preserve">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unemployment</w:t>
      </w:r>
      <w:proofErr w:type="gramEnd"/>
      <w:r>
        <w:rPr>
          <w:rFonts w:ascii="Verdana" w:eastAsia="Verdana" w:hAnsi="Verdana" w:cs="Verdana"/>
          <w:color w:val="000000"/>
          <w:sz w:val="20"/>
        </w:rPr>
        <w:t xml:space="preserve">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unconditional</w:t>
      </w:r>
      <w:proofErr w:type="gramEnd"/>
      <w:r>
        <w:rPr>
          <w:rFonts w:ascii="Verdana" w:eastAsia="Verdana" w:hAnsi="Verdana" w:cs="Verdana"/>
          <w:color w:val="000000"/>
          <w:sz w:val="20"/>
        </w:rPr>
        <w:t xml:space="preserve">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combining</w:t>
      </w:r>
      <w:proofErr w:type="gramEnd"/>
      <w:r>
        <w:rPr>
          <w:rFonts w:ascii="Verdana" w:eastAsia="Verdana" w:hAnsi="Verdana" w:cs="Verdana"/>
          <w:color w:val="000000"/>
          <w:sz w:val="20"/>
        </w:rPr>
        <w:t xml:space="preserve">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state</w:t>
      </w:r>
      <w:proofErr w:type="gramEnd"/>
      <w:r>
        <w:rPr>
          <w:rFonts w:ascii="Verdana" w:eastAsia="Verdana" w:hAnsi="Verdana" w:cs="Verdana"/>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w:t>
      </w:r>
      <w:r>
        <w:rPr>
          <w:rFonts w:ascii="Verdana" w:eastAsia="Verdana" w:hAnsi="Verdana" w:cs="Verdana"/>
          <w:color w:val="000000"/>
          <w:sz w:val="20"/>
        </w:rPr>
        <w:lastRenderedPageBreak/>
        <w:t xml:space="preserve">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calculated</w:t>
      </w:r>
      <w:proofErr w:type="gramEnd"/>
      <w:r>
        <w:rPr>
          <w:rFonts w:ascii="Verdana" w:eastAsia="Verdana" w:hAnsi="Verdana" w:cs="Verdana"/>
          <w:color w:val="000000"/>
          <w:sz w:val="20"/>
        </w:rPr>
        <w:t xml:space="preserve">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proofErr w:type="gramStart"/>
      <w:r>
        <w:rPr>
          <w:rFonts w:ascii="Verdana" w:eastAsia="Verdana" w:hAnsi="Verdana" w:cs="Verdana"/>
          <w:i/>
          <w:color w:val="000000"/>
          <w:sz w:val="20"/>
        </w:rPr>
        <w:t>employing</w:t>
      </w:r>
      <w:proofErr w:type="gramEnd"/>
      <w:r>
        <w:rPr>
          <w:rFonts w:ascii="Verdana" w:eastAsia="Verdana" w:hAnsi="Verdana" w:cs="Verdana"/>
          <w:i/>
          <w:color w:val="000000"/>
          <w:sz w:val="20"/>
        </w:rPr>
        <w:t xml:space="preserve">,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bequeathed</w:t>
      </w:r>
      <w:proofErr w:type="gramEnd"/>
      <w:r>
        <w:rPr>
          <w:rFonts w:ascii="Verdana" w:eastAsia="Verdana" w:hAnsi="Verdana" w:cs="Verdana"/>
          <w:color w:val="000000"/>
          <w:sz w:val="20"/>
        </w:rPr>
        <w:t xml:space="preserve">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taking</w:t>
      </w:r>
      <w:proofErr w:type="gramEnd"/>
      <w:r>
        <w:rPr>
          <w:rFonts w:ascii="Verdana" w:eastAsia="Verdana" w:hAnsi="Verdana" w:cs="Verdana"/>
          <w:color w:val="000000"/>
          <w:sz w:val="20"/>
        </w:rPr>
        <w:t xml:space="preserve">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scored</w:t>
      </w:r>
      <w:proofErr w:type="gramEnd"/>
      <w:r>
        <w:rPr>
          <w:rFonts w:ascii="Verdana" w:eastAsia="Verdana" w:hAnsi="Verdana" w:cs="Verdana"/>
          <w:color w:val="000000"/>
          <w:sz w:val="20"/>
        </w:rPr>
        <w:t xml:space="preserve">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proofErr w:type="gramStart"/>
      <w:r>
        <w:rPr>
          <w:rFonts w:ascii="Verdana" w:eastAsia="Verdana" w:hAnsi="Verdana" w:cs="Verdana"/>
          <w:color w:val="000000"/>
          <w:sz w:val="20"/>
        </w:rPr>
        <w:t>an</w:t>
      </w:r>
      <w:proofErr w:type="gramEnd"/>
      <w:r>
        <w:rPr>
          <w:rFonts w:ascii="Verdana" w:eastAsia="Verdana" w:hAnsi="Verdana" w:cs="Verdana"/>
          <w:color w:val="000000"/>
          <w:sz w:val="20"/>
        </w:rPr>
        <w:t xml:space="preserve">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legal</w:t>
      </w:r>
      <w:proofErr w:type="gramEnd"/>
      <w:r>
        <w:rPr>
          <w:rFonts w:ascii="Verdana" w:eastAsia="Verdana" w:hAnsi="Verdana" w:cs="Verdana"/>
          <w:color w:val="000000"/>
          <w:sz w:val="20"/>
        </w:rPr>
        <w:t xml:space="preserve">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proofErr w:type="gramStart"/>
      <w:r>
        <w:rPr>
          <w:rFonts w:ascii="Verdana" w:eastAsia="Verdana" w:hAnsi="Verdana" w:cs="Verdana"/>
          <w:color w:val="000000"/>
          <w:sz w:val="20"/>
        </w:rPr>
        <w:t>unincorporated</w:t>
      </w:r>
      <w:proofErr w:type="gramEnd"/>
      <w:r>
        <w:rPr>
          <w:rFonts w:ascii="Verdana" w:eastAsia="Verdana" w:hAnsi="Verdana" w:cs="Verdana"/>
          <w:color w:val="000000"/>
          <w:sz w:val="20"/>
        </w:rPr>
        <w:t xml:space="preserve">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certificates</w:t>
      </w:r>
      <w:proofErr w:type="gramEnd"/>
      <w:r>
        <w:rPr>
          <w:rFonts w:ascii="Verdana" w:eastAsia="Verdana" w:hAnsi="Verdana" w:cs="Verdana"/>
          <w:color w:val="000000"/>
          <w:sz w:val="20"/>
        </w:rPr>
        <w:t xml:space="preserve">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proofErr w:type="gramStart"/>
      <w:r>
        <w:rPr>
          <w:rFonts w:ascii="Verdana" w:eastAsia="Verdana" w:hAnsi="Verdana" w:cs="Verdana"/>
          <w:color w:val="000000"/>
          <w:sz w:val="20"/>
        </w:rPr>
        <w:t>documents</w:t>
      </w:r>
      <w:proofErr w:type="gramEnd"/>
      <w:r>
        <w:rPr>
          <w:rFonts w:ascii="Verdana" w:eastAsia="Verdana" w:hAnsi="Verdana" w:cs="Verdana"/>
          <w:color w:val="000000"/>
          <w:sz w:val="20"/>
        </w:rPr>
        <w:t xml:space="preserve">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following</w:t>
      </w:r>
      <w:proofErr w:type="gramEnd"/>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proofErr w:type="gramStart"/>
      <w:r>
        <w:rPr>
          <w:rFonts w:ascii="Verdana" w:eastAsia="Verdana" w:hAnsi="Verdana" w:cs="Verdana"/>
          <w:color w:val="000000"/>
          <w:sz w:val="20"/>
        </w:rPr>
        <w:t>paragraph</w:t>
      </w:r>
      <w:proofErr w:type="gramEnd"/>
      <w:r>
        <w:rPr>
          <w:rFonts w:ascii="Verdana" w:eastAsia="Verdana" w:hAnsi="Verdana" w:cs="Verdana"/>
          <w:color w:val="000000"/>
          <w:sz w:val="20"/>
        </w:rPr>
        <w:t xml:space="preserve">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what</w:t>
      </w:r>
      <w:proofErr w:type="gramEnd"/>
      <w:r>
        <w:rPr>
          <w:rFonts w:ascii="Verdana" w:eastAsia="Verdana" w:hAnsi="Verdana" w:cs="Verdana"/>
          <w:color w:val="000000"/>
          <w:sz w:val="20"/>
        </w:rPr>
        <w:t xml:space="preserve">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lastRenderedPageBreak/>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proofErr w:type="gramStart"/>
      <w:r>
        <w:rPr>
          <w:rFonts w:ascii="Verdana" w:eastAsia="Verdana" w:hAnsi="Verdana" w:cs="Verdana"/>
          <w:color w:val="000000"/>
          <w:sz w:val="20"/>
        </w:rPr>
        <w:t>whether</w:t>
      </w:r>
      <w:proofErr w:type="gramEnd"/>
      <w:r>
        <w:rPr>
          <w:rFonts w:ascii="Verdana" w:eastAsia="Verdana" w:hAnsi="Verdana" w:cs="Verdana"/>
          <w:color w:val="000000"/>
          <w:sz w:val="20"/>
        </w:rPr>
        <w:t xml:space="preserve">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proofErr w:type="gramStart"/>
      <w:r>
        <w:rPr>
          <w:rFonts w:ascii="Verdana" w:eastAsia="Verdana" w:hAnsi="Verdana" w:cs="Verdana"/>
          <w:color w:val="000000"/>
          <w:sz w:val="20"/>
        </w:rPr>
        <w:t>applicable</w:t>
      </w:r>
      <w:proofErr w:type="gramEnd"/>
      <w:r>
        <w:rPr>
          <w:rFonts w:ascii="Verdana" w:eastAsia="Verdana" w:hAnsi="Verdana" w:cs="Verdana"/>
          <w:color w:val="000000"/>
          <w:sz w:val="20"/>
        </w:rPr>
        <w:t>)</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w:t>
      </w:r>
      <w:proofErr w:type="gramStart"/>
      <w:r>
        <w:rPr>
          <w:rFonts w:ascii="Verdana" w:eastAsia="Verdana" w:hAnsi="Verdana" w:cs="Verdana"/>
          <w:color w:val="000000"/>
          <w:sz w:val="20"/>
        </w:rPr>
        <w:t>number .......................................................................</w:t>
      </w:r>
      <w:proofErr w:type="gramEnd"/>
      <w:r>
        <w:rPr>
          <w:rFonts w:ascii="Verdana" w:eastAsia="Verdana" w:hAnsi="Verdana" w:cs="Verdana"/>
          <w:color w:val="000000"/>
          <w:sz w:val="20"/>
        </w:rPr>
        <w:t xml:space="preserv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fraudulent</w:t>
      </w:r>
      <w:proofErr w:type="gramEnd"/>
      <w:r>
        <w:rPr>
          <w:rFonts w:ascii="Verdana" w:eastAsia="Verdana" w:hAnsi="Verdana" w:cs="Verdana"/>
          <w:color w:val="000000"/>
          <w:sz w:val="20"/>
        </w:rPr>
        <w:t xml:space="preserve">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proofErr w:type="gramStart"/>
      <w:r>
        <w:rPr>
          <w:rFonts w:ascii="Verdana" w:eastAsia="Verdana" w:hAnsi="Verdana" w:cs="Verdana"/>
          <w:color w:val="000000"/>
          <w:sz w:val="20"/>
        </w:rPr>
        <w:t>recover</w:t>
      </w:r>
      <w:proofErr w:type="gramEnd"/>
      <w:r>
        <w:rPr>
          <w:rFonts w:ascii="Verdana" w:eastAsia="Verdana" w:hAnsi="Verdana" w:cs="Verdana"/>
          <w:color w:val="000000"/>
          <w:sz w:val="20"/>
        </w:rPr>
        <w:t xml:space="preserve">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having</w:t>
      </w:r>
      <w:proofErr w:type="gramEnd"/>
      <w:r>
        <w:rPr>
          <w:rFonts w:ascii="Verdana" w:eastAsia="Verdana" w:hAnsi="Verdana" w:cs="Verdana"/>
          <w:color w:val="000000"/>
          <w:sz w:val="20"/>
        </w:rPr>
        <w:t xml:space="preserve">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satisfactory</w:t>
      </w:r>
      <w:proofErr w:type="gramEnd"/>
      <w:r>
        <w:rPr>
          <w:rFonts w:ascii="Verdana" w:eastAsia="Verdana" w:hAnsi="Verdana" w:cs="Verdana"/>
          <w:color w:val="000000"/>
          <w:sz w:val="20"/>
        </w:rPr>
        <w:t xml:space="preserve">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submit</w:t>
      </w:r>
      <w:proofErr w:type="gramEnd"/>
      <w:r>
        <w:rPr>
          <w:rFonts w:ascii="Verdana" w:eastAsia="Verdana" w:hAnsi="Verdana" w:cs="Verdana"/>
          <w:color w:val="000000"/>
          <w:sz w:val="20"/>
        </w:rPr>
        <w:t xml:space="preserve">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SARS branch office nationally or on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this</w:t>
      </w:r>
      <w:proofErr w:type="gramEnd"/>
      <w:r>
        <w:rPr>
          <w:rFonts w:ascii="Verdana" w:eastAsia="Verdana" w:hAnsi="Verdana" w:cs="Verdana"/>
          <w:color w:val="000000"/>
          <w:sz w:val="20"/>
        </w:rPr>
        <w:t xml:space="preserve">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3">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CC1786" w:rsidRDefault="00CC1786">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proofErr w:type="gramStart"/>
      <w:r>
        <w:rPr>
          <w:rFonts w:ascii="Verdana" w:eastAsia="Verdana" w:hAnsi="Verdana" w:cs="Verdana"/>
          <w:b/>
          <w:color w:val="000080"/>
          <w:sz w:val="20"/>
        </w:rPr>
        <w:t>5.DECLARATION</w:t>
      </w:r>
      <w:proofErr w:type="gramEnd"/>
      <w:r>
        <w:rPr>
          <w:rFonts w:ascii="Verdana" w:eastAsia="Verdana" w:hAnsi="Verdana" w:cs="Verdana"/>
          <w:b/>
          <w:color w:val="000080"/>
          <w:sz w:val="20"/>
        </w:rPr>
        <w:t xml:space="preserve">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w:t>
      </w:r>
      <w:proofErr w:type="gramStart"/>
      <w:r>
        <w:rPr>
          <w:rFonts w:ascii="Verdana" w:eastAsia="Verdana" w:hAnsi="Verdana" w:cs="Verdana"/>
          <w:color w:val="000000"/>
          <w:sz w:val="20"/>
        </w:rPr>
        <w:t>having  a</w:t>
      </w:r>
      <w:proofErr w:type="gramEnd"/>
      <w:r>
        <w:rPr>
          <w:rFonts w:ascii="Verdana" w:eastAsia="Verdana" w:hAnsi="Verdana" w:cs="Verdana"/>
          <w:color w:val="000000"/>
          <w:sz w:val="20"/>
        </w:rP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proofErr w:type="gramStart"/>
      <w:r>
        <w:rPr>
          <w:rFonts w:ascii="Verdana" w:eastAsia="Verdana" w:hAnsi="Verdana" w:cs="Verdana"/>
          <w:b/>
          <w:color w:val="000000"/>
          <w:sz w:val="20"/>
        </w:rPr>
        <w:t>submitted</w:t>
      </w:r>
      <w:proofErr w:type="gramEnd"/>
      <w:r>
        <w:rPr>
          <w:rFonts w:ascii="Verdana" w:eastAsia="Verdana" w:hAnsi="Verdana" w:cs="Verdana"/>
          <w:b/>
          <w:color w:val="000000"/>
          <w:sz w:val="20"/>
        </w:rPr>
        <w:t xml:space="preserve">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proofErr w:type="gramStart"/>
      <w:r>
        <w:rPr>
          <w:rFonts w:ascii="Verdana" w:eastAsia="Verdana" w:hAnsi="Verdana" w:cs="Verdana"/>
          <w:color w:val="000000"/>
          <w:sz w:val="20"/>
        </w:rPr>
        <w:t>national</w:t>
      </w:r>
      <w:proofErr w:type="gramEnd"/>
      <w:r>
        <w:rPr>
          <w:rFonts w:ascii="Verdana" w:eastAsia="Verdana" w:hAnsi="Verdana" w:cs="Verdana"/>
          <w:color w:val="000000"/>
          <w:sz w:val="20"/>
        </w:rPr>
        <w:t xml:space="preserve">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having a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w:t>
      </w:r>
      <w:r>
        <w:rPr>
          <w:rFonts w:ascii="Verdana" w:eastAsia="Verdana" w:hAnsi="Verdana" w:cs="Verdana"/>
          <w:color w:val="000000"/>
          <w:sz w:val="20"/>
        </w:rPr>
        <w:lastRenderedPageBreak/>
        <w:t xml:space="preserve">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w:t>
      </w: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w:t>
      </w:r>
      <w:proofErr w:type="gramStart"/>
      <w:r>
        <w:rPr>
          <w:rFonts w:ascii="Verdana" w:eastAsia="Verdana" w:hAnsi="Verdana" w:cs="Verdana"/>
          <w:color w:val="000000"/>
          <w:sz w:val="20"/>
        </w:rPr>
        <w:t>a  relationship</w:t>
      </w:r>
      <w:proofErr w:type="gramEnd"/>
      <w:r>
        <w:rPr>
          <w:rFonts w:ascii="Verdana" w:eastAsia="Verdana" w:hAnsi="Verdana" w:cs="Verdana"/>
          <w:color w:val="000000"/>
          <w:sz w:val="20"/>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CC1786" w:rsidRDefault="00CC1786">
      <w:pPr>
        <w:spacing w:after="4" w:line="365" w:lineRule="auto"/>
        <w:ind w:left="420" w:right="1267" w:hanging="10"/>
        <w:rPr>
          <w:rFonts w:ascii="Verdana" w:eastAsia="Verdana" w:hAnsi="Verdana" w:cs="Verdana"/>
          <w:color w:val="000000"/>
          <w:sz w:val="20"/>
        </w:rPr>
      </w:pP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Full name of the bidder or his or her representative</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Company registration number</w:t>
      </w:r>
      <w:proofErr w:type="gramStart"/>
      <w:r>
        <w:rPr>
          <w:rFonts w:ascii="Verdana" w:eastAsia="Verdana" w:hAnsi="Verdana" w:cs="Verdana"/>
          <w:color w:val="000000"/>
          <w:sz w:val="20"/>
        </w:rPr>
        <w:t>:  ………………………………………………………………………..…….</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proofErr w:type="gramStart"/>
      <w:r>
        <w:rPr>
          <w:rFonts w:ascii="Verdana" w:eastAsia="Verdana" w:hAnsi="Verdana" w:cs="Verdana"/>
          <w:color w:val="000000"/>
          <w:sz w:val="20"/>
        </w:rPr>
        <w:t>numbers</w:t>
      </w:r>
      <w:proofErr w:type="gramEnd"/>
      <w:r>
        <w:rPr>
          <w:rFonts w:ascii="Verdana" w:eastAsia="Verdana" w:hAnsi="Verdana" w:cs="Verdana"/>
          <w:color w:val="000000"/>
          <w:sz w:val="20"/>
        </w:rPr>
        <w:t xml:space="preserve">,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proofErr w:type="gramStart"/>
      <w:r>
        <w:rPr>
          <w:rFonts w:ascii="Verdana" w:eastAsia="Verdana" w:hAnsi="Verdana" w:cs="Verdana"/>
          <w:color w:val="000000"/>
          <w:sz w:val="20"/>
        </w:rPr>
        <w:t>indicated</w:t>
      </w:r>
      <w:proofErr w:type="gramEnd"/>
      <w:r>
        <w:rPr>
          <w:rFonts w:ascii="Verdana" w:eastAsia="Verdana" w:hAnsi="Verdana" w:cs="Verdana"/>
          <w:color w:val="000000"/>
          <w:sz w:val="20"/>
        </w:rPr>
        <w:t xml:space="preserve">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proofErr w:type="gramStart"/>
      <w:r>
        <w:rPr>
          <w:rFonts w:ascii="Verdana" w:eastAsia="Verdana" w:hAnsi="Verdana" w:cs="Verdana"/>
          <w:color w:val="000000"/>
          <w:sz w:val="20"/>
        </w:rPr>
        <w:t>presently</w:t>
      </w:r>
      <w:proofErr w:type="gramEnd"/>
      <w:r>
        <w:rPr>
          <w:rFonts w:ascii="Verdana" w:eastAsia="Verdana" w:hAnsi="Verdana" w:cs="Verdana"/>
          <w:color w:val="000000"/>
          <w:sz w:val="20"/>
        </w:rPr>
        <w:t xml:space="preserve">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lastRenderedPageBreak/>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t>
      </w:r>
      <w:proofErr w:type="gramStart"/>
      <w:r>
        <w:rPr>
          <w:rFonts w:ascii="Verdana" w:eastAsia="Verdana" w:hAnsi="Verdana" w:cs="Verdana"/>
          <w:color w:val="000000"/>
          <w:sz w:val="20"/>
        </w:rPr>
        <w:t>with  the</w:t>
      </w:r>
      <w:proofErr w:type="gramEnd"/>
      <w:r>
        <w:rPr>
          <w:rFonts w:ascii="Verdana" w:eastAsia="Verdana" w:hAnsi="Verdana" w:cs="Verdana"/>
          <w:color w:val="000000"/>
          <w:sz w:val="20"/>
        </w:rPr>
        <w:t xml:space="preserv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proofErr w:type="gramStart"/>
      <w:r>
        <w:rPr>
          <w:rFonts w:ascii="Verdana" w:eastAsia="Verdana" w:hAnsi="Verdana" w:cs="Verdana"/>
          <w:color w:val="000000"/>
          <w:sz w:val="20"/>
        </w:rPr>
        <w:t>aware</w:t>
      </w:r>
      <w:proofErr w:type="gramEnd"/>
      <w:r>
        <w:rPr>
          <w:rFonts w:ascii="Verdana" w:eastAsia="Verdana" w:hAnsi="Verdana" w:cs="Verdana"/>
          <w:color w:val="000000"/>
          <w:sz w:val="20"/>
        </w:rPr>
        <w:t xml:space="preserv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rsidP="00CC1786">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rsidP="00CC1786">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w:t>
      </w:r>
      <w:r>
        <w:rPr>
          <w:rFonts w:ascii="Verdana" w:eastAsia="Verdana" w:hAnsi="Verdana" w:cs="Verdana"/>
          <w:color w:val="000000"/>
          <w:sz w:val="20"/>
        </w:rPr>
        <w:lastRenderedPageBreak/>
        <w:t xml:space="preserve">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proofErr w:type="gramStart"/>
      <w:r>
        <w:rPr>
          <w:rFonts w:ascii="Verdana" w:eastAsia="Verdana" w:hAnsi="Verdana" w:cs="Verdana"/>
          <w:color w:val="000000"/>
          <w:sz w:val="20"/>
        </w:rPr>
        <w:t>local</w:t>
      </w:r>
      <w:proofErr w:type="gramEnd"/>
      <w:r>
        <w:rPr>
          <w:rFonts w:ascii="Verdana" w:eastAsia="Verdana" w:hAnsi="Verdana" w:cs="Verdana"/>
          <w:color w:val="000000"/>
          <w:sz w:val="20"/>
        </w:rPr>
        <w:t xml:space="preserve">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w:t>
      </w:r>
      <w:proofErr w:type="gramStart"/>
      <w:r>
        <w:rPr>
          <w:rFonts w:ascii="Verdana" w:eastAsia="Verdana" w:hAnsi="Verdana" w:cs="Verdana"/>
          <w:color w:val="000000"/>
          <w:sz w:val="20"/>
        </w:rPr>
        <w:t>prescribes</w:t>
      </w:r>
      <w:proofErr w:type="gramEnd"/>
      <w:r>
        <w:rPr>
          <w:rFonts w:ascii="Verdana" w:eastAsia="Verdana" w:hAnsi="Verdana" w:cs="Verdana"/>
          <w:color w:val="000000"/>
          <w:sz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0"/>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1"/>
        </w:numPr>
        <w:spacing w:after="14"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lastRenderedPageBreak/>
        <w:t xml:space="preserve">The SABS approved technical specification number SATS 1286:2011 is accessible on </w:t>
      </w:r>
      <w:hyperlink r:id="rId14">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Pr="009E6691"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Default="009E6691" w:rsidP="009E6691">
      <w:pPr>
        <w:spacing w:after="13" w:line="361" w:lineRule="auto"/>
        <w:jc w:val="both"/>
        <w:rPr>
          <w:rFonts w:ascii="Verdana" w:eastAsia="Verdana" w:hAnsi="Verdana" w:cs="Verdana"/>
          <w:b/>
          <w:color w:val="000000"/>
          <w:sz w:val="20"/>
        </w:rPr>
      </w:pPr>
    </w:p>
    <w:p w:rsidR="009E6691" w:rsidRPr="009E6691" w:rsidRDefault="009E6691" w:rsidP="009E6691">
      <w:pPr>
        <w:spacing w:after="13" w:line="361" w:lineRule="auto"/>
        <w:jc w:val="both"/>
        <w:rPr>
          <w:rFonts w:ascii="Verdana" w:eastAsia="Verdana" w:hAnsi="Verdana" w:cs="Verdana"/>
          <w:color w:val="000000"/>
          <w:sz w:val="20"/>
        </w:rPr>
      </w:pPr>
    </w:p>
    <w:p w:rsidR="009E6691" w:rsidRDefault="009E6691" w:rsidP="009E6691">
      <w:pPr>
        <w:spacing w:after="13" w:line="361" w:lineRule="auto"/>
        <w:jc w:val="both"/>
        <w:rPr>
          <w:rFonts w:ascii="Verdana" w:eastAsia="Verdana" w:hAnsi="Verdana" w:cs="Verdana"/>
          <w:color w:val="000000"/>
          <w:sz w:val="20"/>
        </w:rPr>
      </w:pPr>
    </w:p>
    <w:p w:rsidR="00A807DD" w:rsidRPr="009E6691" w:rsidRDefault="00C04723">
      <w:pPr>
        <w:keepNext/>
        <w:keepLines/>
        <w:tabs>
          <w:tab w:val="center" w:pos="3105"/>
          <w:tab w:val="center" w:pos="5466"/>
          <w:tab w:val="center" w:pos="7709"/>
        </w:tabs>
        <w:spacing w:after="240"/>
        <w:rPr>
          <w:rFonts w:ascii="Verdana" w:eastAsia="Verdana" w:hAnsi="Verdana" w:cs="Verdana"/>
          <w:b/>
          <w:color w:val="000000"/>
          <w:sz w:val="20"/>
          <w:u w:val="single"/>
        </w:rPr>
      </w:pPr>
      <w:r w:rsidRPr="009E6691">
        <w:rPr>
          <w:rFonts w:ascii="Calibri" w:eastAsia="Calibri" w:hAnsi="Calibri" w:cs="Calibri"/>
          <w:b/>
          <w:color w:val="000000"/>
          <w:u w:val="single"/>
        </w:rPr>
        <w:tab/>
      </w:r>
      <w:r w:rsidRPr="009E6691">
        <w:rPr>
          <w:rFonts w:ascii="Verdana" w:eastAsia="Verdana" w:hAnsi="Verdana" w:cs="Verdana"/>
          <w:b/>
          <w:color w:val="000000"/>
          <w:sz w:val="20"/>
          <w:u w:val="single"/>
        </w:rPr>
        <w:t xml:space="preserve">Description of services, works or goods  </w:t>
      </w:r>
      <w:r w:rsidRPr="009E6691">
        <w:rPr>
          <w:rFonts w:ascii="Verdana" w:eastAsia="Verdana" w:hAnsi="Verdana" w:cs="Verdana"/>
          <w:b/>
          <w:color w:val="000000"/>
          <w:sz w:val="20"/>
          <w:u w:val="single"/>
        </w:rPr>
        <w:tab/>
        <w:t xml:space="preserve">     </w:t>
      </w:r>
      <w:r w:rsidRPr="009E6691">
        <w:rPr>
          <w:rFonts w:ascii="Verdana" w:eastAsia="Verdana" w:hAnsi="Verdana" w:cs="Verdana"/>
          <w:b/>
          <w:color w:val="000000"/>
          <w:sz w:val="20"/>
          <w:u w:val="single"/>
        </w:rPr>
        <w:tab/>
        <w:t xml:space="preserve">Stipulated minimum threshold </w:t>
      </w:r>
    </w:p>
    <w:p w:rsidR="007E4503" w:rsidRPr="009E6691"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4"/>
          <w:szCs w:val="24"/>
        </w:rPr>
      </w:pPr>
      <w:r w:rsidRPr="009E6691">
        <w:rPr>
          <w:rFonts w:ascii="Calibri" w:eastAsia="Calibri" w:hAnsi="Calibri" w:cs="Calibri"/>
          <w:b/>
          <w:color w:val="000000"/>
        </w:rPr>
        <w:t xml:space="preserve">              </w:t>
      </w:r>
      <w:r w:rsidR="003D3922">
        <w:rPr>
          <w:rFonts w:ascii="Calibri" w:eastAsia="Calibri" w:hAnsi="Calibri" w:cs="Calibri"/>
          <w:b/>
          <w:color w:val="000000"/>
          <w:sz w:val="24"/>
          <w:szCs w:val="24"/>
        </w:rPr>
        <w:t xml:space="preserve">       </w:t>
      </w:r>
    </w:p>
    <w:p w:rsidR="00F61FF8" w:rsidRDefault="007E4503">
      <w:pPr>
        <w:tabs>
          <w:tab w:val="center" w:pos="3105"/>
          <w:tab w:val="center" w:pos="5466"/>
          <w:tab w:val="center" w:pos="6186"/>
          <w:tab w:val="center" w:pos="7459"/>
        </w:tabs>
        <w:spacing w:after="236" w:line="266" w:lineRule="auto"/>
        <w:rPr>
          <w:rFonts w:ascii="Verdana" w:eastAsia="Verdana" w:hAnsi="Verdana" w:cs="Verdana"/>
          <w:b/>
          <w:color w:val="000000"/>
          <w:sz w:val="20"/>
        </w:rPr>
      </w:pPr>
      <w:r>
        <w:rPr>
          <w:rFonts w:ascii="Verdana" w:eastAsia="Verdana" w:hAnsi="Verdana" w:cs="Verdana"/>
          <w:b/>
          <w:color w:val="000000"/>
          <w:sz w:val="20"/>
        </w:rPr>
        <w:t xml:space="preserve">             </w:t>
      </w:r>
    </w:p>
    <w:p w:rsidR="00F61FF8" w:rsidRPr="007E4503" w:rsidRDefault="00F61FF8">
      <w:pPr>
        <w:tabs>
          <w:tab w:val="center" w:pos="3105"/>
          <w:tab w:val="center" w:pos="5466"/>
          <w:tab w:val="center" w:pos="6186"/>
          <w:tab w:val="center" w:pos="7459"/>
        </w:tabs>
        <w:spacing w:after="236" w:line="266" w:lineRule="auto"/>
        <w:rPr>
          <w:rFonts w:ascii="Verdana" w:eastAsia="Verdana" w:hAnsi="Verdana" w:cs="Verdana"/>
          <w:b/>
          <w:color w:val="000000"/>
          <w:sz w:val="20"/>
        </w:rPr>
      </w:pPr>
    </w:p>
    <w:p w:rsidR="00A807DD" w:rsidRDefault="00A807DD">
      <w:pPr>
        <w:spacing w:after="0"/>
        <w:ind w:left="425"/>
        <w:rPr>
          <w:rFonts w:ascii="Verdana" w:eastAsia="Verdana" w:hAnsi="Verdana" w:cs="Verdana"/>
          <w:color w:val="000000"/>
          <w:sz w:val="20"/>
        </w:rPr>
      </w:pP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5">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9E6691" w:rsidRDefault="009E6691"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6E54E7" w:rsidRDefault="006E54E7" w:rsidP="006E54E7">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rsidP="003D3922">
      <w:pPr>
        <w:spacing w:after="12"/>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Pr="007E4503" w:rsidRDefault="00A807DD">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b/>
              </w:rPr>
            </w:pPr>
          </w:p>
          <w:p w:rsidR="00D82D06" w:rsidRPr="007E4503" w:rsidRDefault="00D82D06">
            <w:pPr>
              <w:rPr>
                <w:rFonts w:ascii="Calibri" w:eastAsia="Calibri" w:hAnsi="Calibri" w:cs="Calibri"/>
                <w:b/>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lastRenderedPageBreak/>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84" w:type="dxa"/>
        <w:tblCellMar>
          <w:left w:w="10" w:type="dxa"/>
          <w:right w:w="10" w:type="dxa"/>
        </w:tblCellMar>
        <w:tblLook w:val="04A0" w:firstRow="1" w:lastRow="0" w:firstColumn="1" w:lastColumn="0" w:noHBand="0" w:noVBand="1"/>
      </w:tblPr>
      <w:tblGrid>
        <w:gridCol w:w="679"/>
        <w:gridCol w:w="577"/>
        <w:gridCol w:w="713"/>
        <w:gridCol w:w="895"/>
        <w:gridCol w:w="920"/>
        <w:gridCol w:w="858"/>
        <w:gridCol w:w="635"/>
        <w:gridCol w:w="724"/>
        <w:gridCol w:w="182"/>
        <w:gridCol w:w="722"/>
        <w:gridCol w:w="656"/>
        <w:gridCol w:w="893"/>
        <w:gridCol w:w="858"/>
      </w:tblGrid>
      <w:tr w:rsidR="00A807DD">
        <w:trPr>
          <w:trHeight w:val="1"/>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684"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557"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10"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95"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485"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82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A807DD">
        <w:trPr>
          <w:trHeight w:val="1"/>
        </w:trPr>
        <w:tc>
          <w:tcPr>
            <w:tcW w:w="651"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555"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1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82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0" w:type="auto"/>
        <w:tblInd w:w="82" w:type="dxa"/>
        <w:tblCellMar>
          <w:left w:w="10" w:type="dxa"/>
          <w:right w:w="10" w:type="dxa"/>
        </w:tblCellMar>
        <w:tblLook w:val="04A0" w:firstRow="1" w:lastRow="0" w:firstColumn="1" w:lastColumn="0" w:noHBand="0" w:noVBand="1"/>
      </w:tblPr>
      <w:tblGrid>
        <w:gridCol w:w="678"/>
        <w:gridCol w:w="574"/>
        <w:gridCol w:w="711"/>
        <w:gridCol w:w="894"/>
        <w:gridCol w:w="924"/>
        <w:gridCol w:w="857"/>
        <w:gridCol w:w="638"/>
        <w:gridCol w:w="723"/>
        <w:gridCol w:w="183"/>
        <w:gridCol w:w="725"/>
        <w:gridCol w:w="658"/>
        <w:gridCol w:w="892"/>
        <w:gridCol w:w="857"/>
      </w:tblGrid>
      <w:tr w:rsidR="00A807DD">
        <w:trPr>
          <w:trHeight w:val="1"/>
        </w:trPr>
        <w:tc>
          <w:tcPr>
            <w:tcW w:w="649"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682"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3866"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182"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820"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trPr>
          <w:trHeight w:val="1"/>
        </w:trPr>
        <w:tc>
          <w:tcPr>
            <w:tcW w:w="649"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553"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87"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69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49"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3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881"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trPr>
          <w:trHeight w:val="1"/>
        </w:trPr>
        <w:tc>
          <w:tcPr>
            <w:tcW w:w="649"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53"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2"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735"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820"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lastRenderedPageBreak/>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proofErr w:type="gramStart"/>
      <w:r>
        <w:rPr>
          <w:rFonts w:ascii="Verdana" w:eastAsia="Verdana" w:hAnsi="Verdana" w:cs="Verdana"/>
          <w:color w:val="000000"/>
          <w:sz w:val="20"/>
        </w:rPr>
        <w:t>committed</w:t>
      </w:r>
      <w:proofErr w:type="gramEnd"/>
      <w:r>
        <w:rPr>
          <w:rFonts w:ascii="Verdana" w:eastAsia="Verdana" w:hAnsi="Verdana" w:cs="Verdana"/>
          <w:color w:val="000000"/>
          <w:sz w:val="20"/>
        </w:rPr>
        <w:t xml:space="preserve">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lastRenderedPageBreak/>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6">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Times New Roman" w:eastAsia="Times New Roman" w:hAnsi="Times New Roman" w:cs="Times New Roman"/>
          <w:color w:val="000000"/>
          <w:sz w:val="24"/>
        </w:rPr>
      </w:pPr>
    </w:p>
    <w:p w:rsidR="009E6691" w:rsidRDefault="009E6691">
      <w:pPr>
        <w:spacing w:after="0"/>
        <w:rPr>
          <w:rFonts w:ascii="Verdana" w:eastAsia="Verdana" w:hAnsi="Verdana" w:cs="Verdana"/>
          <w:color w:val="000000"/>
          <w:sz w:val="20"/>
        </w:rPr>
      </w:pP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lastRenderedPageBreak/>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agreement</w:t>
      </w:r>
      <w:proofErr w:type="gramEnd"/>
      <w:r>
        <w:rPr>
          <w:rFonts w:ascii="Verdana" w:eastAsia="Verdana" w:hAnsi="Verdana" w:cs="Verdana"/>
          <w:color w:val="000000"/>
          <w:sz w:val="20"/>
        </w:rPr>
        <w:t xml:space="preserve">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proofErr w:type="gramStart"/>
      <w:r>
        <w:rPr>
          <w:rFonts w:ascii="Verdana" w:eastAsia="Verdana" w:hAnsi="Verdana" w:cs="Verdana"/>
          <w:color w:val="000000"/>
          <w:sz w:val="20"/>
        </w:rPr>
        <w:t>disregard</w:t>
      </w:r>
      <w:proofErr w:type="gramEnd"/>
      <w:r>
        <w:rPr>
          <w:rFonts w:ascii="Verdana" w:eastAsia="Verdana" w:hAnsi="Verdana" w:cs="Verdana"/>
          <w:color w:val="000000"/>
          <w:sz w:val="20"/>
        </w:rPr>
        <w:t xml:space="preserve">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corrupt</w:t>
      </w:r>
      <w:proofErr w:type="gramEnd"/>
      <w:r>
        <w:rPr>
          <w:rFonts w:ascii="Verdana" w:eastAsia="Verdana" w:hAnsi="Verdana" w:cs="Verdana"/>
          <w:color w:val="000000"/>
          <w:sz w:val="20"/>
        </w:rPr>
        <w:t xml:space="preserve">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must</w:t>
      </w:r>
      <w:proofErr w:type="gramEnd"/>
      <w:r>
        <w:rPr>
          <w:rFonts w:ascii="Verdana" w:eastAsia="Verdana" w:hAnsi="Verdana" w:cs="Verdana"/>
          <w:color w:val="000000"/>
          <w:sz w:val="20"/>
        </w:rPr>
        <w:t xml:space="preserve">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proofErr w:type="gramStart"/>
      <w:r>
        <w:rPr>
          <w:rFonts w:ascii="Verdana" w:eastAsia="Verdana" w:hAnsi="Verdana" w:cs="Verdana"/>
          <w:color w:val="000000"/>
          <w:sz w:val="20"/>
        </w:rPr>
        <w:t>do</w:t>
      </w:r>
      <w:proofErr w:type="gramEnd"/>
      <w:r>
        <w:rPr>
          <w:rFonts w:ascii="Verdana" w:eastAsia="Verdana" w:hAnsi="Verdana" w:cs="Verdana"/>
          <w:color w:val="000000"/>
          <w:sz w:val="20"/>
        </w:rPr>
        <w:t xml:space="preserve">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qualifications</w:t>
      </w:r>
      <w:proofErr w:type="gramEnd"/>
      <w:r>
        <w:rPr>
          <w:rFonts w:ascii="Verdana" w:eastAsia="Verdana" w:hAnsi="Verdana" w:cs="Verdana"/>
          <w:color w:val="000000"/>
          <w:sz w:val="20"/>
        </w:rPr>
        <w:t xml:space="preserve">,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business</w:t>
      </w:r>
      <w:proofErr w:type="gramEnd"/>
      <w:r>
        <w:rPr>
          <w:rFonts w:ascii="Verdana" w:eastAsia="Verdana" w:hAnsi="Verdana" w:cs="Verdana"/>
          <w:color w:val="000000"/>
          <w:sz w:val="20"/>
        </w:rPr>
        <w:t xml:space="preserve">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consultation</w:t>
      </w:r>
      <w:proofErr w:type="gramEnd"/>
      <w:r>
        <w:rPr>
          <w:rFonts w:ascii="Verdana" w:eastAsia="Verdana" w:hAnsi="Verdana" w:cs="Verdana"/>
          <w:color w:val="000000"/>
          <w:sz w:val="20"/>
        </w:rPr>
        <w:t xml:space="preserve">,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consultation</w:t>
      </w:r>
      <w:proofErr w:type="gramEnd"/>
      <w:r>
        <w:rPr>
          <w:rFonts w:ascii="Verdana" w:eastAsia="Verdana" w:hAnsi="Verdana" w:cs="Verdana"/>
          <w:color w:val="000000"/>
          <w:sz w:val="20"/>
        </w:rPr>
        <w:t xml:space="preserve">,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 xml:space="preserve">;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bid</w:t>
      </w:r>
      <w:proofErr w:type="gramEnd"/>
      <w:r>
        <w:rPr>
          <w:rFonts w:ascii="Verdana" w:eastAsia="Verdana" w:hAnsi="Verdana" w:cs="Verdana"/>
          <w:color w:val="000000"/>
          <w:sz w:val="20"/>
        </w:rPr>
        <w:t xml:space="preserve">;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proofErr w:type="gramStart"/>
      <w:r>
        <w:rPr>
          <w:rFonts w:ascii="Verdana" w:eastAsia="Verdana" w:hAnsi="Verdana" w:cs="Verdana"/>
          <w:color w:val="000000"/>
          <w:sz w:val="20"/>
        </w:rPr>
        <w:t>bidding</w:t>
      </w:r>
      <w:proofErr w:type="gramEnd"/>
      <w:r>
        <w:rPr>
          <w:rFonts w:ascii="Verdana" w:eastAsia="Verdana" w:hAnsi="Verdana" w:cs="Verdana"/>
          <w:color w:val="000000"/>
          <w:sz w:val="20"/>
        </w:rPr>
        <w:t xml:space="preserve">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directly</w:t>
      </w:r>
      <w:proofErr w:type="gramEnd"/>
      <w:r>
        <w:rPr>
          <w:rFonts w:ascii="Verdana" w:eastAsia="Verdana" w:hAnsi="Verdana" w:cs="Verdana"/>
          <w:color w:val="000000"/>
          <w:sz w:val="20"/>
        </w:rPr>
        <w:t xml:space="preserve">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8pt;height:10.8pt" o:ole="" o:preferrelative="t" stroked="f">
            <v:imagedata r:id="rId17" o:title=""/>
          </v:rect>
          <o:OLEObject Type="Embed" ProgID="StaticMetafile" ShapeID="rectole0000000001" DrawAspect="Content" ObjectID="_1677481374" r:id="rId18"/>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8pt;height:10.8pt" o:ole="" o:preferrelative="t" stroked="f">
            <v:imagedata r:id="rId17" o:title=""/>
          </v:rect>
          <o:OLEObject Type="Embed" ProgID="StaticMetafile" ShapeID="rectole0000000002" DrawAspect="Content" ObjectID="_1677481375" r:id="rId19"/>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supplier</w:t>
      </w:r>
      <w:proofErr w:type="gramEnd"/>
      <w:r>
        <w:rPr>
          <w:rFonts w:ascii="Verdana" w:eastAsia="Verdana" w:hAnsi="Verdana" w:cs="Verdana"/>
          <w:color w:val="000000"/>
          <w:sz w:val="20"/>
        </w:rPr>
        <w:t xml:space="preserve">,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w:t>
      </w:r>
      <w:proofErr w:type="gramEnd"/>
      <w:r>
        <w:rPr>
          <w:rFonts w:ascii="Verdana" w:eastAsia="Verdana" w:hAnsi="Verdana" w:cs="Verdana"/>
          <w:color w:val="000000"/>
          <w:sz w:val="20"/>
        </w:rPr>
        <w:t xml:space="preserve">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influence</w:t>
      </w:r>
      <w:proofErr w:type="gramEnd"/>
      <w:r>
        <w:rPr>
          <w:rFonts w:ascii="Verdana" w:eastAsia="Verdana" w:hAnsi="Verdana" w:cs="Verdana"/>
          <w:color w:val="000000"/>
          <w:sz w:val="20"/>
        </w:rPr>
        <w:t xml:space="preserv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government</w:t>
      </w:r>
      <w:proofErr w:type="gramEnd"/>
      <w:r>
        <w:rPr>
          <w:rFonts w:ascii="Verdana" w:eastAsia="Verdana" w:hAnsi="Verdana" w:cs="Verdana"/>
          <w:color w:val="000000"/>
          <w:sz w:val="20"/>
        </w:rPr>
        <w:t xml:space="preserve">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store</w:t>
      </w:r>
      <w:proofErr w:type="gramEnd"/>
      <w:r>
        <w:rPr>
          <w:rFonts w:ascii="Verdana" w:eastAsia="Verdana" w:hAnsi="Verdana" w:cs="Verdana"/>
          <w:color w:val="000000"/>
          <w:sz w:val="20"/>
        </w:rPr>
        <w:t xml:space="preserv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order</w:t>
      </w:r>
      <w:proofErr w:type="gramEnd"/>
      <w:r>
        <w:rPr>
          <w:rFonts w:ascii="Verdana" w:eastAsia="Verdana" w:hAnsi="Verdana" w:cs="Verdana"/>
          <w:color w:val="000000"/>
          <w:sz w:val="20"/>
        </w:rPr>
        <w:t xml:space="preserve">,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supplier’s</w:t>
      </w:r>
      <w:proofErr w:type="gramEnd"/>
      <w:r>
        <w:rPr>
          <w:rFonts w:ascii="Verdana" w:eastAsia="Verdana" w:hAnsi="Verdana" w:cs="Verdana"/>
          <w:color w:val="000000"/>
          <w:sz w:val="20"/>
        </w:rPr>
        <w:t xml:space="preserve">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procurement</w:t>
      </w:r>
      <w:proofErr w:type="gramEnd"/>
      <w:r>
        <w:rPr>
          <w:rFonts w:ascii="Verdana" w:eastAsia="Verdana" w:hAnsi="Verdana" w:cs="Verdana"/>
          <w:color w:val="000000"/>
          <w:sz w:val="20"/>
        </w:rPr>
        <w:t xml:space="preserve">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required</w:t>
      </w:r>
      <w:proofErr w:type="gramEnd"/>
      <w:r>
        <w:rPr>
          <w:rFonts w:ascii="Verdana" w:eastAsia="Verdana" w:hAnsi="Verdana" w:cs="Verdana"/>
          <w:color w:val="000000"/>
          <w:sz w:val="20"/>
        </w:rPr>
        <w:t xml:space="preserve">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imported</w:t>
      </w:r>
      <w:proofErr w:type="gramEnd"/>
      <w:r>
        <w:rPr>
          <w:rFonts w:ascii="Verdana" w:eastAsia="Verdana" w:hAnsi="Verdana" w:cs="Verdana"/>
          <w:color w:val="000000"/>
          <w:sz w:val="20"/>
        </w:rPr>
        <w:t xml:space="preserve">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components</w:t>
      </w:r>
      <w:proofErr w:type="gramEnd"/>
      <w:r>
        <w:rPr>
          <w:rFonts w:ascii="Verdana" w:eastAsia="Verdana" w:hAnsi="Verdana" w:cs="Verdana"/>
          <w:color w:val="000000"/>
          <w:sz w:val="20"/>
        </w:rPr>
        <w:t xml:space="preserve">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rendering</w:t>
      </w:r>
      <w:proofErr w:type="gramEnd"/>
      <w:r>
        <w:rPr>
          <w:rFonts w:ascii="Verdana" w:eastAsia="Verdana" w:hAnsi="Verdana" w:cs="Verdana"/>
          <w:color w:val="000000"/>
          <w:sz w:val="20"/>
        </w:rPr>
        <w:t xml:space="preserve">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transportation</w:t>
      </w:r>
      <w:proofErr w:type="gramEnd"/>
      <w:r>
        <w:rPr>
          <w:rFonts w:ascii="Verdana" w:eastAsia="Verdana" w:hAnsi="Verdana" w:cs="Verdana"/>
          <w:color w:val="000000"/>
          <w:sz w:val="20"/>
        </w:rPr>
        <w:t xml:space="preserve">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apply</w:t>
      </w:r>
      <w:proofErr w:type="gramEnd"/>
      <w:r>
        <w:rPr>
          <w:rFonts w:ascii="Verdana" w:eastAsia="Verdana" w:hAnsi="Verdana" w:cs="Verdana"/>
          <w:color w:val="000000"/>
          <w:sz w:val="20"/>
        </w:rPr>
        <w:t xml:space="preserve">.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any</w:t>
      </w:r>
      <w:proofErr w:type="gramEnd"/>
      <w:r>
        <w:rPr>
          <w:rFonts w:ascii="Verdana" w:eastAsia="Verdana" w:hAnsi="Verdana" w:cs="Verdana"/>
          <w:color w:val="000000"/>
          <w:sz w:val="20"/>
        </w:rPr>
        <w:t xml:space="preserve">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specifications</w:t>
      </w:r>
      <w:proofErr w:type="gramEnd"/>
      <w:r>
        <w:rPr>
          <w:rFonts w:ascii="Verdana" w:eastAsia="Verdana" w:hAnsi="Verdana" w:cs="Verdana"/>
          <w:color w:val="000000"/>
          <w:sz w:val="20"/>
        </w:rPr>
        <w:t xml:space="preserve">.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or</w:t>
      </w:r>
      <w:proofErr w:type="gramEnd"/>
      <w:r>
        <w:rPr>
          <w:rFonts w:ascii="Verdana" w:eastAsia="Verdana" w:hAnsi="Verdana" w:cs="Verdana"/>
          <w:color w:val="000000"/>
          <w:sz w:val="20"/>
        </w:rPr>
        <w:t xml:space="preserve">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color w:val="000000"/>
          <w:sz w:val="20"/>
        </w:rPr>
        <w:t>so</w:t>
      </w:r>
      <w:proofErr w:type="gramEnd"/>
      <w:r>
        <w:rPr>
          <w:rFonts w:ascii="Verdana" w:eastAsia="Verdana" w:hAnsi="Verdana" w:cs="Verdana"/>
          <w:color w:val="000000"/>
          <w:sz w:val="20"/>
        </w:rPr>
        <w:t xml:space="preserve">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document</w:t>
      </w:r>
      <w:proofErr w:type="gramEnd"/>
      <w:r>
        <w:rPr>
          <w:rFonts w:ascii="Verdana" w:eastAsia="Verdana" w:hAnsi="Verdana" w:cs="Verdana"/>
          <w:color w:val="000000"/>
          <w:sz w:val="20"/>
        </w:rPr>
        <w:t xml:space="preserve">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property</w:t>
      </w:r>
      <w:proofErr w:type="gramEnd"/>
      <w:r>
        <w:rPr>
          <w:rFonts w:ascii="Verdana" w:eastAsia="Verdana" w:hAnsi="Verdana" w:cs="Verdana"/>
          <w:color w:val="000000"/>
          <w:sz w:val="20"/>
        </w:rPr>
        <w:t xml:space="preserve">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patent</w:t>
      </w:r>
      <w:proofErr w:type="gramEnd"/>
      <w:r>
        <w:rPr>
          <w:rFonts w:ascii="Verdana" w:eastAsia="Verdana" w:hAnsi="Verdana" w:cs="Verdana"/>
          <w:color w:val="000000"/>
          <w:sz w:val="20"/>
        </w:rPr>
        <w:t xml:space="preserve">,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shall</w:t>
      </w:r>
      <w:proofErr w:type="gramEnd"/>
      <w:r>
        <w:rPr>
          <w:rFonts w:ascii="Verdana" w:eastAsia="Verdana" w:hAnsi="Verdana" w:cs="Verdana"/>
          <w:color w:val="000000"/>
          <w:sz w:val="20"/>
        </w:rPr>
        <w:t xml:space="preserve">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compensation</w:t>
      </w:r>
      <w:proofErr w:type="gramEnd"/>
      <w:r>
        <w:rPr>
          <w:rFonts w:ascii="Verdana" w:eastAsia="Verdana" w:hAnsi="Verdana" w:cs="Verdana"/>
          <w:color w:val="000000"/>
          <w:sz w:val="20"/>
        </w:rPr>
        <w:t xml:space="preserve">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freely</w:t>
      </w:r>
      <w:proofErr w:type="gramEnd"/>
      <w:r>
        <w:rPr>
          <w:rFonts w:ascii="Verdana" w:eastAsia="Verdana" w:hAnsi="Verdana" w:cs="Verdana"/>
          <w:color w:val="000000"/>
          <w:sz w:val="20"/>
        </w:rPr>
        <w:t xml:space="preserve">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in</w:t>
      </w:r>
      <w:proofErr w:type="gramEnd"/>
      <w:r>
        <w:rPr>
          <w:rFonts w:ascii="Verdana" w:eastAsia="Verdana" w:hAnsi="Verdana" w:cs="Verdana"/>
          <w:color w:val="000000"/>
          <w:sz w:val="20"/>
        </w:rPr>
        <w:t xml:space="preserve">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r>
      <w:proofErr w:type="gramStart"/>
      <w:r>
        <w:rPr>
          <w:rFonts w:ascii="Verdana" w:eastAsia="Verdana" w:hAnsi="Verdana" w:cs="Verdana"/>
          <w:color w:val="000000"/>
          <w:sz w:val="20"/>
        </w:rPr>
        <w:t>a</w:t>
      </w:r>
      <w:proofErr w:type="gramEnd"/>
      <w:r>
        <w:rPr>
          <w:rFonts w:ascii="Verdana" w:eastAsia="Verdana" w:hAnsi="Verdana" w:cs="Verdana"/>
          <w:color w:val="000000"/>
          <w:sz w:val="20"/>
        </w:rPr>
        <w:t xml:space="preserve">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w:t>
      </w:r>
      <w:proofErr w:type="gramEnd"/>
      <w:r>
        <w:rPr>
          <w:rFonts w:ascii="Verdana" w:eastAsia="Verdana" w:hAnsi="Verdana" w:cs="Verdana"/>
          <w:color w:val="000000"/>
          <w:sz w:val="20"/>
        </w:rPr>
        <w:t xml:space="preserve">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stage</w:t>
      </w:r>
      <w:proofErr w:type="gramEnd"/>
      <w:r>
        <w:rPr>
          <w:rFonts w:ascii="Verdana" w:eastAsia="Verdana" w:hAnsi="Verdana" w:cs="Verdana"/>
          <w:color w:val="000000"/>
          <w:sz w:val="20"/>
        </w:rPr>
        <w:t xml:space="preserv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is</w:t>
      </w:r>
      <w:proofErr w:type="gramEnd"/>
      <w:r>
        <w:rPr>
          <w:rFonts w:ascii="Verdana" w:eastAsia="Verdana" w:hAnsi="Verdana" w:cs="Verdana"/>
          <w:color w:val="000000"/>
          <w:sz w:val="20"/>
        </w:rPr>
        <w:t xml:space="preserve">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with</w:t>
      </w:r>
      <w:proofErr w:type="gramEnd"/>
      <w:r>
        <w:rPr>
          <w:rFonts w:ascii="Verdana" w:eastAsia="Verdana" w:hAnsi="Verdana" w:cs="Verdana"/>
          <w:color w:val="000000"/>
          <w:sz w:val="20"/>
        </w:rPr>
        <w:t xml:space="preserve">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rejected</w:t>
      </w:r>
      <w:proofErr w:type="gramEnd"/>
      <w:r>
        <w:rPr>
          <w:rFonts w:ascii="Verdana" w:eastAsia="Verdana" w:hAnsi="Verdana" w:cs="Verdana"/>
          <w:color w:val="000000"/>
          <w:sz w:val="20"/>
        </w:rPr>
        <w:t xml:space="preserve">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or</w:t>
      </w:r>
      <w:proofErr w:type="gramEnd"/>
      <w:r>
        <w:rPr>
          <w:rFonts w:ascii="Verdana" w:eastAsia="Verdana" w:hAnsi="Verdana" w:cs="Verdana"/>
          <w:color w:val="000000"/>
          <w:sz w:val="20"/>
        </w:rPr>
        <w:t xml:space="preserve">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strictly</w:t>
      </w:r>
      <w:proofErr w:type="gramEnd"/>
      <w:r>
        <w:rPr>
          <w:rFonts w:ascii="Verdana" w:eastAsia="Verdana" w:hAnsi="Verdana" w:cs="Verdana"/>
          <w:color w:val="000000"/>
          <w:sz w:val="20"/>
        </w:rPr>
        <w:t xml:space="preserve">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in</w:t>
      </w:r>
      <w:proofErr w:type="gramEnd"/>
      <w:r>
        <w:rPr>
          <w:rFonts w:ascii="Verdana" w:eastAsia="Verdana" w:hAnsi="Verdana" w:cs="Verdana"/>
          <w:color w:val="000000"/>
          <w:sz w:val="20"/>
        </w:rPr>
        <w:t xml:space="preserve">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additional</w:t>
      </w:r>
      <w:proofErr w:type="gramEnd"/>
      <w:r>
        <w:rPr>
          <w:rFonts w:ascii="Verdana" w:eastAsia="Verdana" w:hAnsi="Verdana" w:cs="Verdana"/>
          <w:color w:val="000000"/>
          <w:sz w:val="20"/>
        </w:rPr>
        <w:t xml:space="preserve">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goods</w:t>
      </w:r>
      <w:proofErr w:type="gramEnd"/>
      <w:r>
        <w:rPr>
          <w:rFonts w:ascii="Verdana" w:eastAsia="Verdana" w:hAnsi="Verdana" w:cs="Verdana"/>
          <w:color w:val="000000"/>
          <w:sz w:val="20"/>
        </w:rPr>
        <w:t xml:space="preserve">;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period</w:t>
      </w:r>
      <w:proofErr w:type="gramEnd"/>
      <w:r>
        <w:rPr>
          <w:rFonts w:ascii="Verdana" w:eastAsia="Verdana" w:hAnsi="Verdana" w:cs="Verdana"/>
          <w:color w:val="000000"/>
          <w:sz w:val="20"/>
        </w:rPr>
        <w:t xml:space="preserve">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assembly</w:t>
      </w:r>
      <w:proofErr w:type="gramEnd"/>
      <w:r>
        <w:rPr>
          <w:rFonts w:ascii="Verdana" w:eastAsia="Verdana" w:hAnsi="Verdana" w:cs="Verdana"/>
          <w:color w:val="000000"/>
          <w:sz w:val="20"/>
        </w:rPr>
        <w:t xml:space="preserve">,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materials</w:t>
      </w:r>
      <w:proofErr w:type="gramEnd"/>
      <w:r>
        <w:rPr>
          <w:rFonts w:ascii="Verdana" w:eastAsia="Verdana" w:hAnsi="Verdana" w:cs="Verdana"/>
          <w:color w:val="000000"/>
          <w:sz w:val="20"/>
        </w:rPr>
        <w:t xml:space="preserve">,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that</w:t>
      </w:r>
      <w:proofErr w:type="gramEnd"/>
      <w:r>
        <w:rPr>
          <w:rFonts w:ascii="Verdana" w:eastAsia="Verdana" w:hAnsi="Verdana" w:cs="Verdana"/>
          <w:color w:val="000000"/>
          <w:sz w:val="20"/>
        </w:rPr>
        <w:t xml:space="preserve">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time</w:t>
      </w:r>
      <w:proofErr w:type="gramEnd"/>
      <w:r>
        <w:rPr>
          <w:rFonts w:ascii="Verdana" w:eastAsia="Verdana" w:hAnsi="Verdana" w:cs="Verdana"/>
          <w:color w:val="000000"/>
          <w:sz w:val="20"/>
        </w:rPr>
        <w:t xml:space="preserv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proofErr w:type="gramStart"/>
      <w:r>
        <w:rPr>
          <w:rFonts w:ascii="Verdana" w:eastAsia="Verdana" w:hAnsi="Verdana" w:cs="Verdana"/>
          <w:color w:val="000000"/>
          <w:sz w:val="20"/>
        </w:rPr>
        <w:t>blueprints</w:t>
      </w:r>
      <w:proofErr w:type="gramEnd"/>
      <w:r>
        <w:rPr>
          <w:rFonts w:ascii="Verdana" w:eastAsia="Verdana" w:hAnsi="Verdana" w:cs="Verdana"/>
          <w:color w:val="000000"/>
          <w:sz w:val="20"/>
        </w:rPr>
        <w:t xml:space="preserve">,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most</w:t>
      </w:r>
      <w:proofErr w:type="gramEnd"/>
      <w:r>
        <w:rPr>
          <w:rFonts w:ascii="Verdana" w:eastAsia="Verdana" w:hAnsi="Verdana" w:cs="Verdana"/>
          <w:color w:val="000000"/>
          <w:sz w:val="20"/>
        </w:rPr>
        <w:t xml:space="preserve">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warranty</w:t>
      </w:r>
      <w:proofErr w:type="gramEnd"/>
      <w:r>
        <w:rPr>
          <w:rFonts w:ascii="Verdana" w:eastAsia="Verdana" w:hAnsi="Verdana" w:cs="Verdana"/>
          <w:color w:val="000000"/>
          <w:sz w:val="20"/>
        </w:rPr>
        <w:t xml:space="preserve">.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all</w:t>
      </w:r>
      <w:proofErr w:type="gramEnd"/>
      <w:r>
        <w:rPr>
          <w:rFonts w:ascii="Verdana" w:eastAsia="Verdana" w:hAnsi="Verdana" w:cs="Verdana"/>
          <w:color w:val="000000"/>
          <w:sz w:val="20"/>
        </w:rPr>
        <w:t xml:space="preserve">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in</w:t>
      </w:r>
      <w:proofErr w:type="gramEnd"/>
      <w:r>
        <w:rPr>
          <w:rFonts w:ascii="Verdana" w:eastAsia="Verdana" w:hAnsi="Verdana" w:cs="Verdana"/>
          <w:color w:val="000000"/>
          <w:sz w:val="20"/>
        </w:rPr>
        <w:t xml:space="preserve">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be</w:t>
      </w:r>
      <w:proofErr w:type="gramEnd"/>
      <w:r>
        <w:rPr>
          <w:rFonts w:ascii="Verdana" w:eastAsia="Verdana" w:hAnsi="Verdana" w:cs="Verdana"/>
          <w:color w:val="000000"/>
          <w:sz w:val="20"/>
        </w:rPr>
        <w:t xml:space="preserv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days</w:t>
      </w:r>
      <w:proofErr w:type="gramEnd"/>
      <w:r>
        <w:rPr>
          <w:rFonts w:ascii="Verdana" w:eastAsia="Verdana" w:hAnsi="Verdana" w:cs="Verdana"/>
          <w:color w:val="000000"/>
          <w:sz w:val="20"/>
        </w:rPr>
        <w:t xml:space="preserve">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amendment</w:t>
      </w:r>
      <w:proofErr w:type="gramEnd"/>
      <w:r>
        <w:rPr>
          <w:rFonts w:ascii="Verdana" w:eastAsia="Verdana" w:hAnsi="Verdana" w:cs="Verdana"/>
          <w:color w:val="000000"/>
          <w:sz w:val="20"/>
        </w:rPr>
        <w:t xml:space="preserve">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contract</w:t>
      </w:r>
      <w:proofErr w:type="gramEnd"/>
      <w:r>
        <w:rPr>
          <w:rFonts w:ascii="Verdana" w:eastAsia="Verdana" w:hAnsi="Verdana" w:cs="Verdana"/>
          <w:color w:val="000000"/>
          <w:sz w:val="20"/>
        </w:rPr>
        <w:t xml:space="preserve">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accordance</w:t>
      </w:r>
      <w:proofErr w:type="gramEnd"/>
      <w:r>
        <w:rPr>
          <w:rFonts w:ascii="Verdana" w:eastAsia="Verdana" w:hAnsi="Verdana" w:cs="Verdana"/>
          <w:color w:val="000000"/>
          <w:sz w:val="20"/>
        </w:rPr>
        <w:t xml:space="preserv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should</w:t>
      </w:r>
      <w:proofErr w:type="gramEnd"/>
      <w:r>
        <w:rPr>
          <w:rFonts w:ascii="Verdana" w:eastAsia="Verdana" w:hAnsi="Verdana" w:cs="Verdana"/>
          <w:color w:val="000000"/>
          <w:sz w:val="20"/>
        </w:rPr>
        <w:t xml:space="preserve">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from</w:t>
      </w:r>
      <w:proofErr w:type="gramEnd"/>
      <w:r>
        <w:rPr>
          <w:rFonts w:ascii="Verdana" w:eastAsia="Verdana" w:hAnsi="Verdana" w:cs="Verdana"/>
          <w:color w:val="000000"/>
          <w:sz w:val="20"/>
        </w:rPr>
        <w:t xml:space="preserve">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essential</w:t>
      </w:r>
      <w:proofErr w:type="gramEnd"/>
      <w:r>
        <w:rPr>
          <w:rFonts w:ascii="Verdana" w:eastAsia="Verdana" w:hAnsi="Verdana" w:cs="Verdana"/>
          <w:color w:val="000000"/>
          <w:sz w:val="20"/>
        </w:rPr>
        <w:t xml:space="preserve">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delivery</w:t>
      </w:r>
      <w:proofErr w:type="gramEnd"/>
      <w:r>
        <w:rPr>
          <w:rFonts w:ascii="Verdana" w:eastAsia="Verdana" w:hAnsi="Verdana" w:cs="Verdana"/>
          <w:color w:val="000000"/>
          <w:sz w:val="20"/>
        </w:rPr>
        <w:t xml:space="preserve">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w:t>
      </w:r>
      <w:proofErr w:type="gramStart"/>
      <w:r>
        <w:rPr>
          <w:rFonts w:ascii="Verdana" w:eastAsia="Verdana" w:hAnsi="Verdana" w:cs="Verdana"/>
          <w:color w:val="000000"/>
          <w:sz w:val="20"/>
        </w:rPr>
        <w:t>delivered  later</w:t>
      </w:r>
      <w:proofErr w:type="gramEnd"/>
      <w:r>
        <w:rPr>
          <w:rFonts w:ascii="Verdana" w:eastAsia="Verdana" w:hAnsi="Verdana" w:cs="Verdana"/>
          <w:color w:val="000000"/>
          <w:sz w:val="20"/>
        </w:rPr>
        <w:t xml:space="preserve">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practices</w:t>
      </w:r>
      <w:proofErr w:type="gramEnd"/>
      <w:r>
        <w:rPr>
          <w:rFonts w:ascii="Verdana" w:eastAsia="Verdana" w:hAnsi="Verdana" w:cs="Verdana"/>
          <w:color w:val="000000"/>
          <w:sz w:val="20"/>
        </w:rPr>
        <w:t xml:space="preserve">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imposition</w:t>
      </w:r>
      <w:proofErr w:type="gramEnd"/>
      <w:r>
        <w:rPr>
          <w:rFonts w:ascii="Verdana" w:eastAsia="Verdana" w:hAnsi="Verdana" w:cs="Verdana"/>
          <w:color w:val="000000"/>
          <w:sz w:val="20"/>
        </w:rPr>
        <w:t xml:space="preserve">,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persons</w:t>
      </w:r>
      <w:proofErr w:type="gramEnd"/>
      <w:r>
        <w:rPr>
          <w:rFonts w:ascii="Verdana" w:eastAsia="Verdana" w:hAnsi="Verdana" w:cs="Verdana"/>
          <w:color w:val="000000"/>
          <w:sz w:val="20"/>
        </w:rPr>
        <w:t xml:space="preserve">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also</w:t>
      </w:r>
      <w:proofErr w:type="gramEnd"/>
      <w:r>
        <w:rPr>
          <w:rFonts w:ascii="Verdana" w:eastAsia="Verdana" w:hAnsi="Verdana" w:cs="Verdana"/>
          <w:color w:val="000000"/>
          <w:sz w:val="20"/>
        </w:rPr>
        <w:t xml:space="preserve">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countervailing</w:t>
      </w:r>
      <w:proofErr w:type="gramEnd"/>
      <w:r>
        <w:rPr>
          <w:rFonts w:ascii="Verdana" w:eastAsia="Verdana" w:hAnsi="Verdana" w:cs="Verdana"/>
          <w:color w:val="000000"/>
          <w:sz w:val="20"/>
        </w:rPr>
        <w:t xml:space="preserve">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forfeiture</w:t>
      </w:r>
      <w:proofErr w:type="gramEnd"/>
      <w:r>
        <w:rPr>
          <w:rFonts w:ascii="Verdana" w:eastAsia="Verdana" w:hAnsi="Verdana" w:cs="Verdana"/>
          <w:color w:val="000000"/>
          <w:sz w:val="20"/>
        </w:rPr>
        <w:t xml:space="preserv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writing</w:t>
      </w:r>
      <w:proofErr w:type="gramEnd"/>
      <w:r>
        <w:rPr>
          <w:rFonts w:ascii="Verdana" w:eastAsia="Verdana" w:hAnsi="Verdana" w:cs="Verdana"/>
          <w:color w:val="000000"/>
          <w:sz w:val="20"/>
        </w:rPr>
        <w:t xml:space="preserve">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supplier</w:t>
      </w:r>
      <w:proofErr w:type="gramEnd"/>
      <w:r>
        <w:rPr>
          <w:rFonts w:ascii="Verdana" w:eastAsia="Verdana" w:hAnsi="Verdana" w:cs="Verdana"/>
          <w:color w:val="000000"/>
          <w:sz w:val="20"/>
        </w:rPr>
        <w:t xml:space="preserve">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such</w:t>
      </w:r>
      <w:proofErr w:type="gramEnd"/>
      <w:r>
        <w:rPr>
          <w:rFonts w:ascii="Verdana" w:eastAsia="Verdana" w:hAnsi="Verdana" w:cs="Verdana"/>
          <w:color w:val="000000"/>
          <w:sz w:val="20"/>
        </w:rPr>
        <w:t xml:space="preserve">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t>unless</w:t>
      </w:r>
      <w:proofErr w:type="gramEnd"/>
      <w:r>
        <w:rPr>
          <w:rFonts w:ascii="Verdana" w:eastAsia="Verdana" w:hAnsi="Verdana" w:cs="Verdana"/>
          <w:color w:val="000000"/>
          <w:sz w:val="20"/>
        </w:rPr>
        <w:t xml:space="preserve">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pursuant</w:t>
      </w:r>
      <w:proofErr w:type="gramEnd"/>
      <w:r>
        <w:rPr>
          <w:rFonts w:ascii="Verdana" w:eastAsia="Verdana" w:hAnsi="Verdana" w:cs="Verdana"/>
          <w:color w:val="000000"/>
          <w:sz w:val="20"/>
        </w:rPr>
        <w:t xml:space="preserve">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proofErr w:type="gramStart"/>
      <w:r>
        <w:rPr>
          <w:rFonts w:ascii="Verdana" w:eastAsia="Verdana" w:hAnsi="Verdana" w:cs="Verdana"/>
          <w:color w:val="000000"/>
          <w:sz w:val="20"/>
        </w:rPr>
        <w:lastRenderedPageBreak/>
        <w:t>tort</w:t>
      </w:r>
      <w:proofErr w:type="gramEnd"/>
      <w:r>
        <w:rPr>
          <w:rFonts w:ascii="Verdana" w:eastAsia="Verdana" w:hAnsi="Verdana" w:cs="Verdana"/>
          <w:color w:val="000000"/>
          <w:sz w:val="20"/>
        </w:rPr>
        <w:t xml:space="preserve">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to</w:t>
      </w:r>
      <w:proofErr w:type="gramEnd"/>
      <w:r>
        <w:rPr>
          <w:rFonts w:ascii="Verdana" w:eastAsia="Verdana" w:hAnsi="Verdana" w:cs="Verdana"/>
          <w:color w:val="000000"/>
          <w:sz w:val="20"/>
        </w:rPr>
        <w:t xml:space="preserve">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specified</w:t>
      </w:r>
      <w:proofErr w:type="gramEnd"/>
      <w:r>
        <w:rPr>
          <w:rFonts w:ascii="Verdana" w:eastAsia="Verdana" w:hAnsi="Verdana" w:cs="Verdana"/>
          <w:color w:val="000000"/>
          <w:sz w:val="20"/>
        </w:rPr>
        <w:t xml:space="preserve">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certified</w:t>
      </w:r>
      <w:proofErr w:type="gramEnd"/>
      <w:r>
        <w:rPr>
          <w:rFonts w:ascii="Verdana" w:eastAsia="Verdana" w:hAnsi="Verdana" w:cs="Verdana"/>
          <w:color w:val="000000"/>
          <w:sz w:val="20"/>
        </w:rPr>
        <w:t xml:space="preserve">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notice</w:t>
      </w:r>
      <w:proofErr w:type="gramEnd"/>
      <w:r>
        <w:rPr>
          <w:rFonts w:ascii="Verdana" w:eastAsia="Verdana" w:hAnsi="Verdana" w:cs="Verdana"/>
          <w:color w:val="000000"/>
          <w:sz w:val="20"/>
        </w:rPr>
        <w:t xml:space="preserv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other</w:t>
      </w:r>
      <w:proofErr w:type="gramEnd"/>
      <w:r>
        <w:rPr>
          <w:rFonts w:ascii="Verdana" w:eastAsia="Verdana" w:hAnsi="Verdana" w:cs="Verdana"/>
          <w:color w:val="000000"/>
          <w:sz w:val="20"/>
        </w:rPr>
        <w:t xml:space="preserve">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until</w:t>
      </w:r>
      <w:proofErr w:type="gramEnd"/>
      <w:r>
        <w:rPr>
          <w:rFonts w:ascii="Verdana" w:eastAsia="Verdana" w:hAnsi="Verdana" w:cs="Verdana"/>
          <w:color w:val="000000"/>
          <w:sz w:val="20"/>
        </w:rPr>
        <w:t xml:space="preserve">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the</w:t>
      </w:r>
      <w:proofErr w:type="gramEnd"/>
      <w:r>
        <w:rPr>
          <w:rFonts w:ascii="Verdana" w:eastAsia="Verdana" w:hAnsi="Verdana" w:cs="Verdana"/>
          <w:color w:val="000000"/>
          <w:sz w:val="20"/>
        </w:rPr>
        <w:t xml:space="preserv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subject</w:t>
      </w:r>
      <w:proofErr w:type="gramEnd"/>
      <w:r>
        <w:rPr>
          <w:rFonts w:ascii="Verdana" w:eastAsia="Verdana" w:hAnsi="Verdana" w:cs="Verdana"/>
          <w:color w:val="000000"/>
          <w:sz w:val="20"/>
        </w:rPr>
        <w:t xml:space="preserve">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purchaser</w:t>
      </w:r>
      <w:proofErr w:type="gramEnd"/>
      <w:r>
        <w:rPr>
          <w:rFonts w:ascii="Verdana" w:eastAsia="Verdana" w:hAnsi="Verdana" w:cs="Verdana"/>
          <w:color w:val="000000"/>
          <w:sz w:val="20"/>
        </w:rPr>
        <w:t xml:space="preserve">,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proofErr w:type="gramStart"/>
      <w:r>
        <w:rPr>
          <w:rFonts w:ascii="Verdana" w:eastAsia="Verdana" w:hAnsi="Verdana" w:cs="Verdana"/>
          <w:color w:val="000000"/>
          <w:sz w:val="20"/>
        </w:rPr>
        <w:t>of</w:t>
      </w:r>
      <w:proofErr w:type="gramEnd"/>
      <w:r>
        <w:rPr>
          <w:rFonts w:ascii="Verdana" w:eastAsia="Verdana" w:hAnsi="Verdana" w:cs="Verdana"/>
          <w:color w:val="000000"/>
          <w:sz w:val="20"/>
        </w:rPr>
        <w:t xml:space="preserve">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w:t>
      </w:r>
      <w:proofErr w:type="gramStart"/>
      <w:r>
        <w:rPr>
          <w:rFonts w:ascii="Verdana" w:eastAsia="Verdana" w:hAnsi="Verdana" w:cs="Verdana"/>
          <w:color w:val="000000"/>
          <w:sz w:val="20"/>
        </w:rPr>
        <w:t>years</w:t>
      </w:r>
      <w:proofErr w:type="gramEnd"/>
      <w:r>
        <w:rPr>
          <w:rFonts w:ascii="Verdana" w:eastAsia="Verdana" w:hAnsi="Verdana" w:cs="Verdana"/>
          <w:color w:val="000000"/>
          <w:sz w:val="20"/>
        </w:rPr>
        <w:t xml:space="preserve">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7F260B">
      <w:pPr>
        <w:keepNext/>
        <w:keepLines/>
        <w:spacing w:after="140"/>
        <w:ind w:right="68"/>
        <w:rPr>
          <w:rFonts w:ascii="Verdana" w:eastAsia="Verdana" w:hAnsi="Verdana" w:cs="Verdana"/>
          <w:b/>
          <w:color w:val="000000"/>
          <w:sz w:val="20"/>
        </w:rPr>
      </w:pPr>
    </w:p>
    <w:p w:rsidR="00F91F15" w:rsidRPr="00F91F15" w:rsidRDefault="007E4503" w:rsidP="00F91F15">
      <w:pPr>
        <w:rPr>
          <w:b/>
          <w:sz w:val="26"/>
          <w:szCs w:val="26"/>
        </w:rPr>
      </w:pPr>
      <w:r>
        <w:rPr>
          <w:rFonts w:ascii="Verdana" w:eastAsia="Verdana" w:hAnsi="Verdana" w:cs="Verdana"/>
          <w:b/>
          <w:color w:val="000000"/>
          <w:sz w:val="18"/>
        </w:rPr>
        <w:t>RF</w:t>
      </w:r>
      <w:r w:rsidR="00154DBB">
        <w:rPr>
          <w:rFonts w:ascii="Verdana" w:eastAsia="Verdana" w:hAnsi="Verdana" w:cs="Verdana"/>
          <w:b/>
          <w:color w:val="000000"/>
          <w:sz w:val="18"/>
        </w:rPr>
        <w:t xml:space="preserve">Q 636365 ONCE OFF ANNUAL SERVICE OF MICROSCOPES FOR FREE STATE LAB </w:t>
      </w:r>
    </w:p>
    <w:p w:rsidR="00644960" w:rsidRDefault="00644960" w:rsidP="00644960">
      <w:pPr>
        <w:spacing w:after="191"/>
        <w:ind w:right="74"/>
        <w:jc w:val="center"/>
        <w:rPr>
          <w:rFonts w:ascii="Verdana" w:eastAsia="Verdana" w:hAnsi="Verdana" w:cs="Verdana"/>
          <w:b/>
          <w:color w:val="000000"/>
          <w:sz w:val="18"/>
        </w:rPr>
      </w:pPr>
    </w:p>
    <w:p w:rsidR="00A807DD" w:rsidRDefault="00C04723" w:rsidP="00644960">
      <w:pPr>
        <w:spacing w:after="191"/>
        <w:ind w:right="74"/>
        <w:jc w:val="center"/>
        <w:rPr>
          <w:rFonts w:ascii="Verdana" w:eastAsia="Verdana" w:hAnsi="Verdana" w:cs="Verdana"/>
          <w:color w:val="000000"/>
          <w:sz w:val="20"/>
        </w:rPr>
      </w:pPr>
      <w:r>
        <w:rPr>
          <w:rFonts w:ascii="Tahoma" w:eastAsia="Tahoma" w:hAnsi="Tahoma" w:cs="Tahoma"/>
          <w:b/>
          <w:color w:val="000000"/>
          <w:sz w:val="18"/>
        </w:rPr>
        <w:t xml:space="preserve">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w:t>
      </w:r>
      <w:r>
        <w:rPr>
          <w:rFonts w:ascii="Tahoma" w:eastAsia="Tahoma" w:hAnsi="Tahoma" w:cs="Tahoma"/>
          <w:b/>
          <w:color w:val="000000"/>
          <w:sz w:val="18"/>
        </w:rPr>
        <w:lastRenderedPageBreak/>
        <w:t xml:space="preserve">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w:t>
      </w:r>
      <w:proofErr w:type="gramStart"/>
      <w:r>
        <w:rPr>
          <w:rFonts w:ascii="Tahoma" w:eastAsia="Tahoma" w:hAnsi="Tahoma" w:cs="Tahoma"/>
          <w:color w:val="000000"/>
          <w:sz w:val="18"/>
        </w:rPr>
        <w:t>Bid.</w:t>
      </w:r>
      <w:proofErr w:type="gramEnd"/>
      <w:r>
        <w:rPr>
          <w:rFonts w:ascii="Tahoma" w:eastAsia="Tahoma" w:hAnsi="Tahoma" w:cs="Tahoma"/>
          <w:color w:val="000000"/>
          <w:sz w:val="18"/>
        </w:rPr>
        <w:t xml:space="preserve">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sectPr w:rsidR="00A807DD">
      <w:headerReference w:type="even" r:id="rId21"/>
      <w:headerReference w:type="default" r:id="rId22"/>
      <w:footerReference w:type="even" r:id="rId23"/>
      <w:footerReference w:type="default" r:id="rId24"/>
      <w:headerReference w:type="first" r:id="rId25"/>
      <w:footerReference w:type="first" r:id="rId2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40" w:rsidRDefault="00921F40" w:rsidP="00C425A3">
      <w:pPr>
        <w:spacing w:after="0" w:line="240" w:lineRule="auto"/>
      </w:pPr>
      <w:r>
        <w:separator/>
      </w:r>
    </w:p>
  </w:endnote>
  <w:endnote w:type="continuationSeparator" w:id="0">
    <w:p w:rsidR="00921F40" w:rsidRDefault="00921F40"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DB" w:rsidRDefault="00D3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96593"/>
      <w:docPartObj>
        <w:docPartGallery w:val="Page Numbers (Bottom of Page)"/>
        <w:docPartUnique/>
      </w:docPartObj>
    </w:sdtPr>
    <w:sdtEndPr>
      <w:rPr>
        <w:noProof/>
      </w:rPr>
    </w:sdtEndPr>
    <w:sdtContent>
      <w:p w:rsidR="00D346DB" w:rsidRDefault="00D346DB">
        <w:pPr>
          <w:pStyle w:val="Footer"/>
        </w:pPr>
        <w:r>
          <w:fldChar w:fldCharType="begin"/>
        </w:r>
        <w:r>
          <w:instrText xml:space="preserve"> PAGE   \* MERGEFORMAT </w:instrText>
        </w:r>
        <w:r>
          <w:fldChar w:fldCharType="separate"/>
        </w:r>
        <w:r w:rsidR="00222A94">
          <w:rPr>
            <w:noProof/>
          </w:rPr>
          <w:t>21</w:t>
        </w:r>
        <w:r>
          <w:rPr>
            <w:noProof/>
          </w:rPr>
          <w:fldChar w:fldCharType="end"/>
        </w:r>
      </w:p>
    </w:sdtContent>
  </w:sdt>
  <w:p w:rsidR="00D346DB" w:rsidRDefault="00D3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DB" w:rsidRDefault="00D3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40" w:rsidRDefault="00921F40" w:rsidP="00C425A3">
      <w:pPr>
        <w:spacing w:after="0" w:line="240" w:lineRule="auto"/>
      </w:pPr>
      <w:r>
        <w:separator/>
      </w:r>
    </w:p>
  </w:footnote>
  <w:footnote w:type="continuationSeparator" w:id="0">
    <w:p w:rsidR="00921F40" w:rsidRDefault="00921F40"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DB" w:rsidRDefault="00D3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DB" w:rsidRDefault="00D3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6DB" w:rsidRDefault="00D34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0A66D4"/>
    <w:multiLevelType w:val="hybridMultilevel"/>
    <w:tmpl w:val="EE60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4" w15:restartNumberingAfterBreak="0">
    <w:nsid w:val="0781083C"/>
    <w:multiLevelType w:val="hybridMultilevel"/>
    <w:tmpl w:val="B1849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203A39"/>
    <w:multiLevelType w:val="hybridMultilevel"/>
    <w:tmpl w:val="CC3CC17A"/>
    <w:lvl w:ilvl="0" w:tplc="6C149DD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144179"/>
    <w:multiLevelType w:val="hybridMultilevel"/>
    <w:tmpl w:val="E0F8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6F44A9E"/>
    <w:multiLevelType w:val="hybridMultilevel"/>
    <w:tmpl w:val="30D26C5E"/>
    <w:lvl w:ilvl="0" w:tplc="030C58EE">
      <w:numFmt w:val="bullet"/>
      <w:lvlText w:val="-"/>
      <w:lvlJc w:val="left"/>
      <w:pPr>
        <w:ind w:left="362" w:hanging="360"/>
      </w:pPr>
      <w:rPr>
        <w:rFonts w:ascii="Verdana" w:eastAsia="Verdana" w:hAnsi="Verdana" w:cs="Verdana" w:hint="default"/>
        <w:b/>
        <w:color w:val="000000"/>
        <w:sz w:val="20"/>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16"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2"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68816FA"/>
    <w:multiLevelType w:val="hybridMultilevel"/>
    <w:tmpl w:val="7F101F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5"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D4B79B3"/>
    <w:multiLevelType w:val="hybridMultilevel"/>
    <w:tmpl w:val="26DC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80"/>
  </w:num>
  <w:num w:numId="3">
    <w:abstractNumId w:val="97"/>
  </w:num>
  <w:num w:numId="4">
    <w:abstractNumId w:val="60"/>
  </w:num>
  <w:num w:numId="5">
    <w:abstractNumId w:val="195"/>
  </w:num>
  <w:num w:numId="6">
    <w:abstractNumId w:val="27"/>
  </w:num>
  <w:num w:numId="7">
    <w:abstractNumId w:val="173"/>
  </w:num>
  <w:num w:numId="8">
    <w:abstractNumId w:val="33"/>
  </w:num>
  <w:num w:numId="9">
    <w:abstractNumId w:val="18"/>
  </w:num>
  <w:num w:numId="10">
    <w:abstractNumId w:val="74"/>
  </w:num>
  <w:num w:numId="11">
    <w:abstractNumId w:val="90"/>
  </w:num>
  <w:num w:numId="12">
    <w:abstractNumId w:val="37"/>
  </w:num>
  <w:num w:numId="13">
    <w:abstractNumId w:val="165"/>
  </w:num>
  <w:num w:numId="14">
    <w:abstractNumId w:val="148"/>
  </w:num>
  <w:num w:numId="15">
    <w:abstractNumId w:val="176"/>
  </w:num>
  <w:num w:numId="16">
    <w:abstractNumId w:val="43"/>
  </w:num>
  <w:num w:numId="17">
    <w:abstractNumId w:val="20"/>
  </w:num>
  <w:num w:numId="18">
    <w:abstractNumId w:val="137"/>
  </w:num>
  <w:num w:numId="19">
    <w:abstractNumId w:val="28"/>
  </w:num>
  <w:num w:numId="20">
    <w:abstractNumId w:val="54"/>
  </w:num>
  <w:num w:numId="21">
    <w:abstractNumId w:val="124"/>
  </w:num>
  <w:num w:numId="22">
    <w:abstractNumId w:val="42"/>
  </w:num>
  <w:num w:numId="23">
    <w:abstractNumId w:val="105"/>
  </w:num>
  <w:num w:numId="24">
    <w:abstractNumId w:val="129"/>
  </w:num>
  <w:num w:numId="25">
    <w:abstractNumId w:val="45"/>
  </w:num>
  <w:num w:numId="26">
    <w:abstractNumId w:val="154"/>
  </w:num>
  <w:num w:numId="27">
    <w:abstractNumId w:val="24"/>
  </w:num>
  <w:num w:numId="28">
    <w:abstractNumId w:val="25"/>
  </w:num>
  <w:num w:numId="29">
    <w:abstractNumId w:val="102"/>
  </w:num>
  <w:num w:numId="30">
    <w:abstractNumId w:val="127"/>
  </w:num>
  <w:num w:numId="31">
    <w:abstractNumId w:val="132"/>
  </w:num>
  <w:num w:numId="32">
    <w:abstractNumId w:val="23"/>
  </w:num>
  <w:num w:numId="33">
    <w:abstractNumId w:val="125"/>
  </w:num>
  <w:num w:numId="34">
    <w:abstractNumId w:val="98"/>
  </w:num>
  <w:num w:numId="35">
    <w:abstractNumId w:val="116"/>
  </w:num>
  <w:num w:numId="36">
    <w:abstractNumId w:val="95"/>
  </w:num>
  <w:num w:numId="37">
    <w:abstractNumId w:val="152"/>
  </w:num>
  <w:num w:numId="38">
    <w:abstractNumId w:val="100"/>
  </w:num>
  <w:num w:numId="39">
    <w:abstractNumId w:val="63"/>
  </w:num>
  <w:num w:numId="40">
    <w:abstractNumId w:val="151"/>
  </w:num>
  <w:num w:numId="41">
    <w:abstractNumId w:val="49"/>
  </w:num>
  <w:num w:numId="42">
    <w:abstractNumId w:val="68"/>
  </w:num>
  <w:num w:numId="43">
    <w:abstractNumId w:val="106"/>
  </w:num>
  <w:num w:numId="44">
    <w:abstractNumId w:val="130"/>
  </w:num>
  <w:num w:numId="45">
    <w:abstractNumId w:val="120"/>
  </w:num>
  <w:num w:numId="46">
    <w:abstractNumId w:val="186"/>
  </w:num>
  <w:num w:numId="47">
    <w:abstractNumId w:val="181"/>
  </w:num>
  <w:num w:numId="48">
    <w:abstractNumId w:val="188"/>
  </w:num>
  <w:num w:numId="49">
    <w:abstractNumId w:val="128"/>
  </w:num>
  <w:num w:numId="50">
    <w:abstractNumId w:val="41"/>
  </w:num>
  <w:num w:numId="51">
    <w:abstractNumId w:val="9"/>
  </w:num>
  <w:num w:numId="52">
    <w:abstractNumId w:val="114"/>
  </w:num>
  <w:num w:numId="53">
    <w:abstractNumId w:val="202"/>
  </w:num>
  <w:num w:numId="54">
    <w:abstractNumId w:val="157"/>
  </w:num>
  <w:num w:numId="55">
    <w:abstractNumId w:val="21"/>
  </w:num>
  <w:num w:numId="56">
    <w:abstractNumId w:val="65"/>
  </w:num>
  <w:num w:numId="57">
    <w:abstractNumId w:val="117"/>
  </w:num>
  <w:num w:numId="58">
    <w:abstractNumId w:val="35"/>
  </w:num>
  <w:num w:numId="59">
    <w:abstractNumId w:val="53"/>
  </w:num>
  <w:num w:numId="60">
    <w:abstractNumId w:val="6"/>
  </w:num>
  <w:num w:numId="61">
    <w:abstractNumId w:val="96"/>
  </w:num>
  <w:num w:numId="62">
    <w:abstractNumId w:val="101"/>
  </w:num>
  <w:num w:numId="63">
    <w:abstractNumId w:val="168"/>
  </w:num>
  <w:num w:numId="64">
    <w:abstractNumId w:val="76"/>
  </w:num>
  <w:num w:numId="65">
    <w:abstractNumId w:val="192"/>
  </w:num>
  <w:num w:numId="66">
    <w:abstractNumId w:val="77"/>
  </w:num>
  <w:num w:numId="67">
    <w:abstractNumId w:val="150"/>
  </w:num>
  <w:num w:numId="68">
    <w:abstractNumId w:val="187"/>
  </w:num>
  <w:num w:numId="69">
    <w:abstractNumId w:val="12"/>
  </w:num>
  <w:num w:numId="70">
    <w:abstractNumId w:val="48"/>
  </w:num>
  <w:num w:numId="71">
    <w:abstractNumId w:val="155"/>
  </w:num>
  <w:num w:numId="72">
    <w:abstractNumId w:val="104"/>
  </w:num>
  <w:num w:numId="73">
    <w:abstractNumId w:val="72"/>
  </w:num>
  <w:num w:numId="74">
    <w:abstractNumId w:val="83"/>
  </w:num>
  <w:num w:numId="75">
    <w:abstractNumId w:val="113"/>
  </w:num>
  <w:num w:numId="76">
    <w:abstractNumId w:val="84"/>
  </w:num>
  <w:num w:numId="77">
    <w:abstractNumId w:val="69"/>
  </w:num>
  <w:num w:numId="78">
    <w:abstractNumId w:val="156"/>
  </w:num>
  <w:num w:numId="79">
    <w:abstractNumId w:val="108"/>
  </w:num>
  <w:num w:numId="80">
    <w:abstractNumId w:val="189"/>
  </w:num>
  <w:num w:numId="81">
    <w:abstractNumId w:val="0"/>
  </w:num>
  <w:num w:numId="82">
    <w:abstractNumId w:val="57"/>
  </w:num>
  <w:num w:numId="83">
    <w:abstractNumId w:val="64"/>
  </w:num>
  <w:num w:numId="84">
    <w:abstractNumId w:val="39"/>
  </w:num>
  <w:num w:numId="85">
    <w:abstractNumId w:val="26"/>
  </w:num>
  <w:num w:numId="86">
    <w:abstractNumId w:val="38"/>
  </w:num>
  <w:num w:numId="87">
    <w:abstractNumId w:val="138"/>
  </w:num>
  <w:num w:numId="88">
    <w:abstractNumId w:val="1"/>
  </w:num>
  <w:num w:numId="89">
    <w:abstractNumId w:val="163"/>
  </w:num>
  <w:num w:numId="90">
    <w:abstractNumId w:val="180"/>
  </w:num>
  <w:num w:numId="91">
    <w:abstractNumId w:val="144"/>
  </w:num>
  <w:num w:numId="92">
    <w:abstractNumId w:val="167"/>
  </w:num>
  <w:num w:numId="93">
    <w:abstractNumId w:val="8"/>
  </w:num>
  <w:num w:numId="94">
    <w:abstractNumId w:val="31"/>
  </w:num>
  <w:num w:numId="95">
    <w:abstractNumId w:val="93"/>
  </w:num>
  <w:num w:numId="96">
    <w:abstractNumId w:val="136"/>
  </w:num>
  <w:num w:numId="97">
    <w:abstractNumId w:val="52"/>
  </w:num>
  <w:num w:numId="98">
    <w:abstractNumId w:val="164"/>
  </w:num>
  <w:num w:numId="99">
    <w:abstractNumId w:val="87"/>
  </w:num>
  <w:num w:numId="100">
    <w:abstractNumId w:val="133"/>
  </w:num>
  <w:num w:numId="101">
    <w:abstractNumId w:val="174"/>
  </w:num>
  <w:num w:numId="102">
    <w:abstractNumId w:val="22"/>
  </w:num>
  <w:num w:numId="103">
    <w:abstractNumId w:val="81"/>
  </w:num>
  <w:num w:numId="104">
    <w:abstractNumId w:val="182"/>
  </w:num>
  <w:num w:numId="105">
    <w:abstractNumId w:val="153"/>
  </w:num>
  <w:num w:numId="106">
    <w:abstractNumId w:val="66"/>
  </w:num>
  <w:num w:numId="107">
    <w:abstractNumId w:val="75"/>
  </w:num>
  <w:num w:numId="108">
    <w:abstractNumId w:val="123"/>
  </w:num>
  <w:num w:numId="109">
    <w:abstractNumId w:val="158"/>
  </w:num>
  <w:num w:numId="110">
    <w:abstractNumId w:val="159"/>
  </w:num>
  <w:num w:numId="111">
    <w:abstractNumId w:val="50"/>
  </w:num>
  <w:num w:numId="112">
    <w:abstractNumId w:val="5"/>
  </w:num>
  <w:num w:numId="113">
    <w:abstractNumId w:val="160"/>
  </w:num>
  <w:num w:numId="114">
    <w:abstractNumId w:val="131"/>
  </w:num>
  <w:num w:numId="115">
    <w:abstractNumId w:val="29"/>
  </w:num>
  <w:num w:numId="116">
    <w:abstractNumId w:val="145"/>
  </w:num>
  <w:num w:numId="117">
    <w:abstractNumId w:val="103"/>
  </w:num>
  <w:num w:numId="118">
    <w:abstractNumId w:val="15"/>
  </w:num>
  <w:num w:numId="119">
    <w:abstractNumId w:val="7"/>
  </w:num>
  <w:num w:numId="120">
    <w:abstractNumId w:val="162"/>
  </w:num>
  <w:num w:numId="121">
    <w:abstractNumId w:val="121"/>
  </w:num>
  <w:num w:numId="122">
    <w:abstractNumId w:val="199"/>
  </w:num>
  <w:num w:numId="123">
    <w:abstractNumId w:val="119"/>
  </w:num>
  <w:num w:numId="124">
    <w:abstractNumId w:val="58"/>
  </w:num>
  <w:num w:numId="125">
    <w:abstractNumId w:val="201"/>
  </w:num>
  <w:num w:numId="126">
    <w:abstractNumId w:val="146"/>
  </w:num>
  <w:num w:numId="127">
    <w:abstractNumId w:val="175"/>
  </w:num>
  <w:num w:numId="128">
    <w:abstractNumId w:val="166"/>
  </w:num>
  <w:num w:numId="129">
    <w:abstractNumId w:val="118"/>
  </w:num>
  <w:num w:numId="130">
    <w:abstractNumId w:val="56"/>
  </w:num>
  <w:num w:numId="131">
    <w:abstractNumId w:val="179"/>
  </w:num>
  <w:num w:numId="132">
    <w:abstractNumId w:val="59"/>
  </w:num>
  <w:num w:numId="133">
    <w:abstractNumId w:val="92"/>
  </w:num>
  <w:num w:numId="134">
    <w:abstractNumId w:val="185"/>
  </w:num>
  <w:num w:numId="135">
    <w:abstractNumId w:val="47"/>
  </w:num>
  <w:num w:numId="136">
    <w:abstractNumId w:val="196"/>
  </w:num>
  <w:num w:numId="137">
    <w:abstractNumId w:val="4"/>
  </w:num>
  <w:num w:numId="138">
    <w:abstractNumId w:val="30"/>
  </w:num>
  <w:num w:numId="139">
    <w:abstractNumId w:val="62"/>
  </w:num>
  <w:num w:numId="140">
    <w:abstractNumId w:val="197"/>
  </w:num>
  <w:num w:numId="141">
    <w:abstractNumId w:val="11"/>
  </w:num>
  <w:num w:numId="142">
    <w:abstractNumId w:val="110"/>
  </w:num>
  <w:num w:numId="143">
    <w:abstractNumId w:val="142"/>
  </w:num>
  <w:num w:numId="144">
    <w:abstractNumId w:val="51"/>
  </w:num>
  <w:num w:numId="145">
    <w:abstractNumId w:val="140"/>
  </w:num>
  <w:num w:numId="146">
    <w:abstractNumId w:val="61"/>
  </w:num>
  <w:num w:numId="147">
    <w:abstractNumId w:val="194"/>
  </w:num>
  <w:num w:numId="148">
    <w:abstractNumId w:val="3"/>
  </w:num>
  <w:num w:numId="149">
    <w:abstractNumId w:val="46"/>
  </w:num>
  <w:num w:numId="150">
    <w:abstractNumId w:val="89"/>
  </w:num>
  <w:num w:numId="151">
    <w:abstractNumId w:val="141"/>
  </w:num>
  <w:num w:numId="152">
    <w:abstractNumId w:val="40"/>
  </w:num>
  <w:num w:numId="153">
    <w:abstractNumId w:val="177"/>
  </w:num>
  <w:num w:numId="154">
    <w:abstractNumId w:val="2"/>
  </w:num>
  <w:num w:numId="155">
    <w:abstractNumId w:val="126"/>
  </w:num>
  <w:num w:numId="156">
    <w:abstractNumId w:val="109"/>
  </w:num>
  <w:num w:numId="157">
    <w:abstractNumId w:val="88"/>
  </w:num>
  <w:num w:numId="158">
    <w:abstractNumId w:val="172"/>
  </w:num>
  <w:num w:numId="159">
    <w:abstractNumId w:val="94"/>
  </w:num>
  <w:num w:numId="160">
    <w:abstractNumId w:val="55"/>
  </w:num>
  <w:num w:numId="161">
    <w:abstractNumId w:val="36"/>
  </w:num>
  <w:num w:numId="162">
    <w:abstractNumId w:val="183"/>
  </w:num>
  <w:num w:numId="163">
    <w:abstractNumId w:val="34"/>
  </w:num>
  <w:num w:numId="164">
    <w:abstractNumId w:val="200"/>
  </w:num>
  <w:num w:numId="165">
    <w:abstractNumId w:val="203"/>
  </w:num>
  <w:num w:numId="166">
    <w:abstractNumId w:val="143"/>
  </w:num>
  <w:num w:numId="167">
    <w:abstractNumId w:val="16"/>
  </w:num>
  <w:num w:numId="168">
    <w:abstractNumId w:val="85"/>
  </w:num>
  <w:num w:numId="169">
    <w:abstractNumId w:val="149"/>
  </w:num>
  <w:num w:numId="170">
    <w:abstractNumId w:val="139"/>
  </w:num>
  <w:num w:numId="171">
    <w:abstractNumId w:val="147"/>
  </w:num>
  <w:num w:numId="172">
    <w:abstractNumId w:val="19"/>
  </w:num>
  <w:num w:numId="173">
    <w:abstractNumId w:val="17"/>
  </w:num>
  <w:num w:numId="174">
    <w:abstractNumId w:val="191"/>
  </w:num>
  <w:num w:numId="175">
    <w:abstractNumId w:val="91"/>
  </w:num>
  <w:num w:numId="176">
    <w:abstractNumId w:val="99"/>
  </w:num>
  <w:num w:numId="177">
    <w:abstractNumId w:val="82"/>
  </w:num>
  <w:num w:numId="178">
    <w:abstractNumId w:val="178"/>
  </w:num>
  <w:num w:numId="179">
    <w:abstractNumId w:val="112"/>
  </w:num>
  <w:num w:numId="180">
    <w:abstractNumId w:val="193"/>
  </w:num>
  <w:num w:numId="181">
    <w:abstractNumId w:val="67"/>
  </w:num>
  <w:num w:numId="182">
    <w:abstractNumId w:val="32"/>
  </w:num>
  <w:num w:numId="183">
    <w:abstractNumId w:val="44"/>
  </w:num>
  <w:num w:numId="184">
    <w:abstractNumId w:val="78"/>
  </w:num>
  <w:num w:numId="185">
    <w:abstractNumId w:val="190"/>
  </w:num>
  <w:num w:numId="186">
    <w:abstractNumId w:val="135"/>
  </w:num>
  <w:num w:numId="187">
    <w:abstractNumId w:val="73"/>
  </w:num>
  <w:num w:numId="188">
    <w:abstractNumId w:val="79"/>
  </w:num>
  <w:num w:numId="189">
    <w:abstractNumId w:val="86"/>
  </w:num>
  <w:num w:numId="190">
    <w:abstractNumId w:val="171"/>
  </w:num>
  <w:num w:numId="191">
    <w:abstractNumId w:val="122"/>
  </w:num>
  <w:num w:numId="192">
    <w:abstractNumId w:val="169"/>
  </w:num>
  <w:num w:numId="193">
    <w:abstractNumId w:val="71"/>
  </w:num>
  <w:num w:numId="194">
    <w:abstractNumId w:val="134"/>
  </w:num>
  <w:num w:numId="195">
    <w:abstractNumId w:val="170"/>
  </w:num>
  <w:num w:numId="196">
    <w:abstractNumId w:val="13"/>
  </w:num>
  <w:num w:numId="197">
    <w:abstractNumId w:val="161"/>
  </w:num>
  <w:num w:numId="198">
    <w:abstractNumId w:val="184"/>
  </w:num>
  <w:num w:numId="199">
    <w:abstractNumId w:val="198"/>
  </w:num>
  <w:num w:numId="200">
    <w:abstractNumId w:val="115"/>
  </w:num>
  <w:num w:numId="201">
    <w:abstractNumId w:val="70"/>
  </w:num>
  <w:num w:numId="202">
    <w:abstractNumId w:val="14"/>
  </w:num>
  <w:num w:numId="203">
    <w:abstractNumId w:val="10"/>
  </w:num>
  <w:num w:numId="204">
    <w:abstractNumId w:val="11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43B20"/>
    <w:rsid w:val="00060FF4"/>
    <w:rsid w:val="0006576D"/>
    <w:rsid w:val="000C1ED7"/>
    <w:rsid w:val="000C5FA4"/>
    <w:rsid w:val="000D601B"/>
    <w:rsid w:val="000E2BC4"/>
    <w:rsid w:val="000E6341"/>
    <w:rsid w:val="00142338"/>
    <w:rsid w:val="00154DBB"/>
    <w:rsid w:val="0018089A"/>
    <w:rsid w:val="00181442"/>
    <w:rsid w:val="001A5020"/>
    <w:rsid w:val="001C51D0"/>
    <w:rsid w:val="001D0022"/>
    <w:rsid w:val="00212CBD"/>
    <w:rsid w:val="00217578"/>
    <w:rsid w:val="00222A94"/>
    <w:rsid w:val="00266542"/>
    <w:rsid w:val="002713A6"/>
    <w:rsid w:val="002B5232"/>
    <w:rsid w:val="002B699E"/>
    <w:rsid w:val="002D1E79"/>
    <w:rsid w:val="002F435B"/>
    <w:rsid w:val="00327AB9"/>
    <w:rsid w:val="00370977"/>
    <w:rsid w:val="00370CA0"/>
    <w:rsid w:val="003725C6"/>
    <w:rsid w:val="0038362E"/>
    <w:rsid w:val="00395309"/>
    <w:rsid w:val="003D3922"/>
    <w:rsid w:val="003E3540"/>
    <w:rsid w:val="003E547A"/>
    <w:rsid w:val="003F316C"/>
    <w:rsid w:val="0044267E"/>
    <w:rsid w:val="004518CA"/>
    <w:rsid w:val="004759A7"/>
    <w:rsid w:val="004E11A3"/>
    <w:rsid w:val="004F46F3"/>
    <w:rsid w:val="00524624"/>
    <w:rsid w:val="00555768"/>
    <w:rsid w:val="00561BAC"/>
    <w:rsid w:val="00571272"/>
    <w:rsid w:val="005B61A7"/>
    <w:rsid w:val="005F6146"/>
    <w:rsid w:val="00644960"/>
    <w:rsid w:val="00647E5D"/>
    <w:rsid w:val="006514F4"/>
    <w:rsid w:val="00660A96"/>
    <w:rsid w:val="006639C9"/>
    <w:rsid w:val="006A06A0"/>
    <w:rsid w:val="006A6B81"/>
    <w:rsid w:val="006C7157"/>
    <w:rsid w:val="006E34F8"/>
    <w:rsid w:val="006E54E7"/>
    <w:rsid w:val="00727145"/>
    <w:rsid w:val="00751D85"/>
    <w:rsid w:val="0075531F"/>
    <w:rsid w:val="00763C5D"/>
    <w:rsid w:val="007721DB"/>
    <w:rsid w:val="00795041"/>
    <w:rsid w:val="00796768"/>
    <w:rsid w:val="00797D3C"/>
    <w:rsid w:val="007A26BE"/>
    <w:rsid w:val="007B2F59"/>
    <w:rsid w:val="007C0B88"/>
    <w:rsid w:val="007E4503"/>
    <w:rsid w:val="007F1A8B"/>
    <w:rsid w:val="007F260B"/>
    <w:rsid w:val="00810C16"/>
    <w:rsid w:val="00822009"/>
    <w:rsid w:val="00822B15"/>
    <w:rsid w:val="00830063"/>
    <w:rsid w:val="00831645"/>
    <w:rsid w:val="00840B92"/>
    <w:rsid w:val="00841965"/>
    <w:rsid w:val="00873980"/>
    <w:rsid w:val="008923E2"/>
    <w:rsid w:val="008C01A7"/>
    <w:rsid w:val="008D5415"/>
    <w:rsid w:val="00904D8B"/>
    <w:rsid w:val="00912530"/>
    <w:rsid w:val="00921F40"/>
    <w:rsid w:val="009234A7"/>
    <w:rsid w:val="00987803"/>
    <w:rsid w:val="009972E8"/>
    <w:rsid w:val="009A79A4"/>
    <w:rsid w:val="009B0773"/>
    <w:rsid w:val="009E6691"/>
    <w:rsid w:val="00A01523"/>
    <w:rsid w:val="00A14A22"/>
    <w:rsid w:val="00A205D3"/>
    <w:rsid w:val="00A4371A"/>
    <w:rsid w:val="00A807DD"/>
    <w:rsid w:val="00AB580B"/>
    <w:rsid w:val="00AF5686"/>
    <w:rsid w:val="00B02E25"/>
    <w:rsid w:val="00B678BB"/>
    <w:rsid w:val="00BD1E5D"/>
    <w:rsid w:val="00C01483"/>
    <w:rsid w:val="00C04723"/>
    <w:rsid w:val="00C05F53"/>
    <w:rsid w:val="00C25388"/>
    <w:rsid w:val="00C33C7F"/>
    <w:rsid w:val="00C425A3"/>
    <w:rsid w:val="00C51CC5"/>
    <w:rsid w:val="00C6629B"/>
    <w:rsid w:val="00C70A65"/>
    <w:rsid w:val="00C8693C"/>
    <w:rsid w:val="00C90109"/>
    <w:rsid w:val="00CB5FB7"/>
    <w:rsid w:val="00CC1786"/>
    <w:rsid w:val="00D147BF"/>
    <w:rsid w:val="00D346DB"/>
    <w:rsid w:val="00D50AD4"/>
    <w:rsid w:val="00D5396A"/>
    <w:rsid w:val="00D82D06"/>
    <w:rsid w:val="00D876C6"/>
    <w:rsid w:val="00D93B2E"/>
    <w:rsid w:val="00DA560E"/>
    <w:rsid w:val="00DD359D"/>
    <w:rsid w:val="00E70449"/>
    <w:rsid w:val="00E77FF1"/>
    <w:rsid w:val="00E91C1C"/>
    <w:rsid w:val="00EB47C3"/>
    <w:rsid w:val="00EB6845"/>
    <w:rsid w:val="00F31D1E"/>
    <w:rsid w:val="00F35D0F"/>
    <w:rsid w:val="00F47491"/>
    <w:rsid w:val="00F54580"/>
    <w:rsid w:val="00F61FF8"/>
    <w:rsid w:val="00F87E1B"/>
    <w:rsid w:val="00F9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1340"/>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1D0022"/>
    <w:pPr>
      <w:spacing w:after="0" w:line="240" w:lineRule="auto"/>
    </w:pPr>
  </w:style>
  <w:style w:type="table" w:styleId="TableGrid">
    <w:name w:val="Table Grid"/>
    <w:basedOn w:val="TableNormal"/>
    <w:uiPriority w:val="39"/>
    <w:rsid w:val="0082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1523"/>
    <w:rPr>
      <w:color w:val="0563C1" w:themeColor="hyperlink"/>
      <w:u w:val="single"/>
    </w:rPr>
  </w:style>
  <w:style w:type="paragraph" w:styleId="NormalWeb">
    <w:name w:val="Normal (Web)"/>
    <w:basedOn w:val="Normal"/>
    <w:uiPriority w:val="99"/>
    <w:semiHidden/>
    <w:unhideWhenUsed/>
    <w:rsid w:val="00660A96"/>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240">
      <w:bodyDiv w:val="1"/>
      <w:marLeft w:val="0"/>
      <w:marRight w:val="0"/>
      <w:marTop w:val="0"/>
      <w:marBottom w:val="0"/>
      <w:divBdr>
        <w:top w:val="none" w:sz="0" w:space="0" w:color="auto"/>
        <w:left w:val="none" w:sz="0" w:space="0" w:color="auto"/>
        <w:bottom w:val="none" w:sz="0" w:space="0" w:color="auto"/>
        <w:right w:val="none" w:sz="0" w:space="0" w:color="auto"/>
      </w:divBdr>
    </w:div>
    <w:div w:id="65422925">
      <w:bodyDiv w:val="1"/>
      <w:marLeft w:val="0"/>
      <w:marRight w:val="0"/>
      <w:marTop w:val="0"/>
      <w:marBottom w:val="0"/>
      <w:divBdr>
        <w:top w:val="none" w:sz="0" w:space="0" w:color="auto"/>
        <w:left w:val="none" w:sz="0" w:space="0" w:color="auto"/>
        <w:bottom w:val="none" w:sz="0" w:space="0" w:color="auto"/>
        <w:right w:val="none" w:sz="0" w:space="0" w:color="auto"/>
      </w:divBdr>
    </w:div>
    <w:div w:id="87701848">
      <w:bodyDiv w:val="1"/>
      <w:marLeft w:val="0"/>
      <w:marRight w:val="0"/>
      <w:marTop w:val="0"/>
      <w:marBottom w:val="0"/>
      <w:divBdr>
        <w:top w:val="none" w:sz="0" w:space="0" w:color="auto"/>
        <w:left w:val="none" w:sz="0" w:space="0" w:color="auto"/>
        <w:bottom w:val="none" w:sz="0" w:space="0" w:color="auto"/>
        <w:right w:val="none" w:sz="0" w:space="0" w:color="auto"/>
      </w:divBdr>
    </w:div>
    <w:div w:id="91246390">
      <w:bodyDiv w:val="1"/>
      <w:marLeft w:val="0"/>
      <w:marRight w:val="0"/>
      <w:marTop w:val="0"/>
      <w:marBottom w:val="0"/>
      <w:divBdr>
        <w:top w:val="none" w:sz="0" w:space="0" w:color="auto"/>
        <w:left w:val="none" w:sz="0" w:space="0" w:color="auto"/>
        <w:bottom w:val="none" w:sz="0" w:space="0" w:color="auto"/>
        <w:right w:val="none" w:sz="0" w:space="0" w:color="auto"/>
      </w:divBdr>
    </w:div>
    <w:div w:id="135687919">
      <w:bodyDiv w:val="1"/>
      <w:marLeft w:val="0"/>
      <w:marRight w:val="0"/>
      <w:marTop w:val="0"/>
      <w:marBottom w:val="0"/>
      <w:divBdr>
        <w:top w:val="none" w:sz="0" w:space="0" w:color="auto"/>
        <w:left w:val="none" w:sz="0" w:space="0" w:color="auto"/>
        <w:bottom w:val="none" w:sz="0" w:space="0" w:color="auto"/>
        <w:right w:val="none" w:sz="0" w:space="0" w:color="auto"/>
      </w:divBdr>
    </w:div>
    <w:div w:id="327636439">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377582927">
      <w:bodyDiv w:val="1"/>
      <w:marLeft w:val="0"/>
      <w:marRight w:val="0"/>
      <w:marTop w:val="0"/>
      <w:marBottom w:val="0"/>
      <w:divBdr>
        <w:top w:val="none" w:sz="0" w:space="0" w:color="auto"/>
        <w:left w:val="none" w:sz="0" w:space="0" w:color="auto"/>
        <w:bottom w:val="none" w:sz="0" w:space="0" w:color="auto"/>
        <w:right w:val="none" w:sz="0" w:space="0" w:color="auto"/>
      </w:divBdr>
    </w:div>
    <w:div w:id="707031257">
      <w:bodyDiv w:val="1"/>
      <w:marLeft w:val="0"/>
      <w:marRight w:val="0"/>
      <w:marTop w:val="0"/>
      <w:marBottom w:val="0"/>
      <w:divBdr>
        <w:top w:val="none" w:sz="0" w:space="0" w:color="auto"/>
        <w:left w:val="none" w:sz="0" w:space="0" w:color="auto"/>
        <w:bottom w:val="none" w:sz="0" w:space="0" w:color="auto"/>
        <w:right w:val="none" w:sz="0" w:space="0" w:color="auto"/>
      </w:divBdr>
    </w:div>
    <w:div w:id="713195043">
      <w:bodyDiv w:val="1"/>
      <w:marLeft w:val="0"/>
      <w:marRight w:val="0"/>
      <w:marTop w:val="0"/>
      <w:marBottom w:val="0"/>
      <w:divBdr>
        <w:top w:val="none" w:sz="0" w:space="0" w:color="auto"/>
        <w:left w:val="none" w:sz="0" w:space="0" w:color="auto"/>
        <w:bottom w:val="none" w:sz="0" w:space="0" w:color="auto"/>
        <w:right w:val="none" w:sz="0" w:space="0" w:color="auto"/>
      </w:divBdr>
    </w:div>
    <w:div w:id="1070276175">
      <w:bodyDiv w:val="1"/>
      <w:marLeft w:val="0"/>
      <w:marRight w:val="0"/>
      <w:marTop w:val="0"/>
      <w:marBottom w:val="0"/>
      <w:divBdr>
        <w:top w:val="none" w:sz="0" w:space="0" w:color="auto"/>
        <w:left w:val="none" w:sz="0" w:space="0" w:color="auto"/>
        <w:bottom w:val="none" w:sz="0" w:space="0" w:color="auto"/>
        <w:right w:val="none" w:sz="0" w:space="0" w:color="auto"/>
      </w:divBdr>
    </w:div>
    <w:div w:id="1089617705">
      <w:bodyDiv w:val="1"/>
      <w:marLeft w:val="0"/>
      <w:marRight w:val="0"/>
      <w:marTop w:val="0"/>
      <w:marBottom w:val="0"/>
      <w:divBdr>
        <w:top w:val="none" w:sz="0" w:space="0" w:color="auto"/>
        <w:left w:val="none" w:sz="0" w:space="0" w:color="auto"/>
        <w:bottom w:val="none" w:sz="0" w:space="0" w:color="auto"/>
        <w:right w:val="none" w:sz="0" w:space="0" w:color="auto"/>
      </w:divBdr>
    </w:div>
    <w:div w:id="1185434845">
      <w:bodyDiv w:val="1"/>
      <w:marLeft w:val="0"/>
      <w:marRight w:val="0"/>
      <w:marTop w:val="0"/>
      <w:marBottom w:val="0"/>
      <w:divBdr>
        <w:top w:val="none" w:sz="0" w:space="0" w:color="auto"/>
        <w:left w:val="none" w:sz="0" w:space="0" w:color="auto"/>
        <w:bottom w:val="none" w:sz="0" w:space="0" w:color="auto"/>
        <w:right w:val="none" w:sz="0" w:space="0" w:color="auto"/>
      </w:divBdr>
    </w:div>
    <w:div w:id="1251230792">
      <w:bodyDiv w:val="1"/>
      <w:marLeft w:val="0"/>
      <w:marRight w:val="0"/>
      <w:marTop w:val="0"/>
      <w:marBottom w:val="0"/>
      <w:divBdr>
        <w:top w:val="none" w:sz="0" w:space="0" w:color="auto"/>
        <w:left w:val="none" w:sz="0" w:space="0" w:color="auto"/>
        <w:bottom w:val="none" w:sz="0" w:space="0" w:color="auto"/>
        <w:right w:val="none" w:sz="0" w:space="0" w:color="auto"/>
      </w:divBdr>
    </w:div>
    <w:div w:id="1410346704">
      <w:bodyDiv w:val="1"/>
      <w:marLeft w:val="0"/>
      <w:marRight w:val="0"/>
      <w:marTop w:val="0"/>
      <w:marBottom w:val="0"/>
      <w:divBdr>
        <w:top w:val="none" w:sz="0" w:space="0" w:color="auto"/>
        <w:left w:val="none" w:sz="0" w:space="0" w:color="auto"/>
        <w:bottom w:val="none" w:sz="0" w:space="0" w:color="auto"/>
        <w:right w:val="none" w:sz="0" w:space="0" w:color="auto"/>
      </w:divBdr>
    </w:div>
    <w:div w:id="1442452515">
      <w:bodyDiv w:val="1"/>
      <w:marLeft w:val="0"/>
      <w:marRight w:val="0"/>
      <w:marTop w:val="0"/>
      <w:marBottom w:val="0"/>
      <w:divBdr>
        <w:top w:val="none" w:sz="0" w:space="0" w:color="auto"/>
        <w:left w:val="none" w:sz="0" w:space="0" w:color="auto"/>
        <w:bottom w:val="none" w:sz="0" w:space="0" w:color="auto"/>
        <w:right w:val="none" w:sz="0" w:space="0" w:color="auto"/>
      </w:divBdr>
    </w:div>
    <w:div w:id="1475872360">
      <w:bodyDiv w:val="1"/>
      <w:marLeft w:val="0"/>
      <w:marRight w:val="0"/>
      <w:marTop w:val="0"/>
      <w:marBottom w:val="0"/>
      <w:divBdr>
        <w:top w:val="none" w:sz="0" w:space="0" w:color="auto"/>
        <w:left w:val="none" w:sz="0" w:space="0" w:color="auto"/>
        <w:bottom w:val="none" w:sz="0" w:space="0" w:color="auto"/>
        <w:right w:val="none" w:sz="0" w:space="0" w:color="auto"/>
      </w:divBdr>
    </w:div>
    <w:div w:id="1553073425">
      <w:bodyDiv w:val="1"/>
      <w:marLeft w:val="0"/>
      <w:marRight w:val="0"/>
      <w:marTop w:val="0"/>
      <w:marBottom w:val="0"/>
      <w:divBdr>
        <w:top w:val="none" w:sz="0" w:space="0" w:color="auto"/>
        <w:left w:val="none" w:sz="0" w:space="0" w:color="auto"/>
        <w:bottom w:val="none" w:sz="0" w:space="0" w:color="auto"/>
        <w:right w:val="none" w:sz="0" w:space="0" w:color="auto"/>
      </w:divBdr>
    </w:div>
    <w:div w:id="1840658187">
      <w:bodyDiv w:val="1"/>
      <w:marLeft w:val="0"/>
      <w:marRight w:val="0"/>
      <w:marTop w:val="0"/>
      <w:marBottom w:val="0"/>
      <w:divBdr>
        <w:top w:val="none" w:sz="0" w:space="0" w:color="auto"/>
        <w:left w:val="none" w:sz="0" w:space="0" w:color="auto"/>
        <w:bottom w:val="none" w:sz="0" w:space="0" w:color="auto"/>
        <w:right w:val="none" w:sz="0" w:space="0" w:color="auto"/>
      </w:divBdr>
    </w:div>
    <w:div w:id="1841315525">
      <w:bodyDiv w:val="1"/>
      <w:marLeft w:val="0"/>
      <w:marRight w:val="0"/>
      <w:marTop w:val="0"/>
      <w:marBottom w:val="0"/>
      <w:divBdr>
        <w:top w:val="none" w:sz="0" w:space="0" w:color="auto"/>
        <w:left w:val="none" w:sz="0" w:space="0" w:color="auto"/>
        <w:bottom w:val="none" w:sz="0" w:space="0" w:color="auto"/>
        <w:right w:val="none" w:sz="0" w:space="0" w:color="auto"/>
      </w:divBdr>
    </w:div>
    <w:div w:id="1929804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ars.gov.za/" TargetMode="External"/><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sars.gov.za/"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hedti.gov.za/industrial_development/ip.jsp%20HYPERLINK%20%22http://www.thedti.gov.za/industrial_development/ip.jsp%2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12451</Words>
  <Characters>70976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4</cp:revision>
  <dcterms:created xsi:type="dcterms:W3CDTF">2021-03-17T08:12:00Z</dcterms:created>
  <dcterms:modified xsi:type="dcterms:W3CDTF">2021-03-17T08:16:00Z</dcterms:modified>
</cp:coreProperties>
</file>