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7573417"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rsidP="00695F0B">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730ABF">
              <w:rPr>
                <w:rFonts w:ascii="Verdana" w:eastAsia="Verdana" w:hAnsi="Verdana" w:cs="Verdana"/>
                <w:b/>
                <w:color w:val="000000"/>
                <w:sz w:val="20"/>
              </w:rPr>
              <w:t>VARIOU</w:t>
            </w:r>
            <w:r w:rsidR="00695F0B">
              <w:rPr>
                <w:rFonts w:ascii="Verdana" w:eastAsia="Verdana" w:hAnsi="Verdana" w:cs="Verdana"/>
                <w:b/>
                <w:color w:val="000000"/>
                <w:sz w:val="20"/>
              </w:rPr>
              <w:t xml:space="preserve">S </w:t>
            </w:r>
            <w:r w:rsidR="00F6711F">
              <w:rPr>
                <w:rFonts w:ascii="Verdana" w:eastAsia="Verdana" w:hAnsi="Verdana" w:cs="Verdana"/>
                <w:b/>
                <w:color w:val="000000"/>
                <w:sz w:val="20"/>
              </w:rPr>
              <w:t>1742994</w:t>
            </w:r>
            <w:r w:rsidR="00695F0B">
              <w:rPr>
                <w:rFonts w:ascii="Verdana" w:eastAsia="Verdana" w:hAnsi="Verdana" w:cs="Verdana"/>
                <w:b/>
                <w:color w:val="000000"/>
                <w:sz w:val="20"/>
              </w:rPr>
              <w:t>, 1860612</w:t>
            </w:r>
            <w:r w:rsidR="00BC47E4">
              <w:rPr>
                <w:rFonts w:ascii="Verdana" w:eastAsia="Verdana" w:hAnsi="Verdana" w:cs="Verdana"/>
                <w:b/>
                <w:color w:val="000000"/>
                <w:sz w:val="20"/>
              </w:rPr>
              <w:t xml:space="preserve"> Transportation of staff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043E95" w:rsidP="002F435B">
            <w:pPr>
              <w:spacing w:after="0"/>
              <w:rPr>
                <w:b/>
              </w:rPr>
            </w:pPr>
            <w:r>
              <w:rPr>
                <w:b/>
              </w:rPr>
              <w:t xml:space="preserve">20 December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DD4D8D" w:rsidP="00571272">
            <w:pPr>
              <w:spacing w:after="0"/>
              <w:rPr>
                <w:rFonts w:ascii="Calibri" w:eastAsia="Calibri" w:hAnsi="Calibri" w:cs="Calibri"/>
              </w:rPr>
            </w:pPr>
            <w:r>
              <w:rPr>
                <w:rFonts w:cs="Tahoma"/>
                <w:b/>
                <w:color w:val="FF0000"/>
                <w:sz w:val="20"/>
                <w:szCs w:val="20"/>
              </w:rPr>
              <w:t xml:space="preserve">Transportation this will be for a period of 6 months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DD4D8D" w:rsidP="00A57C2E">
            <w:r>
              <w:t xml:space="preserve">TRANSPORTATION OF STAFF </w:t>
            </w:r>
            <w:r w:rsidR="00695F0B">
              <w:t>re advertise</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695F0B" w:rsidP="00397B78">
            <w:pPr>
              <w:spacing w:after="0" w:line="240" w:lineRule="auto"/>
              <w:rPr>
                <w:rFonts w:ascii="Arial" w:hAnsi="Arial" w:cs="Arial"/>
                <w:color w:val="000000"/>
                <w:sz w:val="24"/>
                <w:szCs w:val="24"/>
              </w:rPr>
            </w:pPr>
            <w:r>
              <w:rPr>
                <w:rFonts w:ascii="Arial" w:hAnsi="Arial" w:cs="Arial"/>
                <w:color w:val="000000"/>
                <w:sz w:val="24"/>
                <w:szCs w:val="24"/>
              </w:rPr>
              <w:t>Johannesburg BY NO later than 20 December</w:t>
            </w:r>
            <w:bookmarkStart w:id="0" w:name="_GoBack"/>
            <w:bookmarkEnd w:id="0"/>
            <w:r w:rsidR="00DD4D8D">
              <w:rPr>
                <w:rFonts w:ascii="Arial" w:hAnsi="Arial" w:cs="Arial"/>
                <w:color w:val="000000"/>
                <w:sz w:val="24"/>
                <w:szCs w:val="24"/>
              </w:rPr>
              <w:t xml:space="preserve"> </w:t>
            </w:r>
            <w:r w:rsidR="00397B78">
              <w:rPr>
                <w:rFonts w:ascii="Arial" w:hAnsi="Arial" w:cs="Arial"/>
                <w:color w:val="000000"/>
                <w:sz w:val="24"/>
                <w:szCs w:val="24"/>
              </w:rPr>
              <w:t>@11h00. It mus</w:t>
            </w:r>
            <w:r w:rsidR="0022464B">
              <w:rPr>
                <w:rFonts w:ascii="Arial" w:hAnsi="Arial" w:cs="Arial"/>
                <w:color w:val="000000"/>
                <w:sz w:val="24"/>
                <w:szCs w:val="24"/>
              </w:rPr>
              <w:t>t</w:t>
            </w:r>
            <w:r w:rsidR="00DD4D8D">
              <w:rPr>
                <w:rFonts w:ascii="Arial" w:hAnsi="Arial" w:cs="Arial"/>
                <w:color w:val="000000"/>
                <w:sz w:val="24"/>
                <w:szCs w:val="24"/>
              </w:rPr>
              <w:t xml:space="preserve"> clearly marked . TRANSPORTATION Various REQ NR 1742994, 1860612 </w:t>
            </w:r>
            <w:r w:rsidR="00C40402">
              <w:rPr>
                <w:rFonts w:ascii="Arial" w:hAnsi="Arial" w:cs="Arial"/>
                <w:color w:val="000000"/>
                <w:sz w:val="24"/>
                <w:szCs w:val="24"/>
              </w:rPr>
              <w:t xml:space="preserve"> </w:t>
            </w:r>
            <w:r w:rsidR="00397B78">
              <w:rPr>
                <w:rFonts w:ascii="Arial" w:hAnsi="Arial" w:cs="Arial"/>
                <w:color w:val="000000"/>
                <w:sz w:val="24"/>
                <w:szCs w:val="24"/>
              </w:rPr>
              <w:t>ATT</w:t>
            </w:r>
            <w:r w:rsidR="00DD4D8D">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F6711F" w:rsidRDefault="00F6711F">
      <w:pPr>
        <w:spacing w:after="141" w:line="266" w:lineRule="auto"/>
        <w:ind w:right="69"/>
        <w:jc w:val="both"/>
        <w:rPr>
          <w:rFonts w:ascii="Verdana" w:eastAsia="Verdana" w:hAnsi="Verdana" w:cs="Verdana"/>
          <w:b/>
          <w:sz w:val="24"/>
          <w:szCs w:val="24"/>
        </w:rPr>
      </w:pPr>
    </w:p>
    <w:p w:rsidR="00695F0B" w:rsidRPr="00695F0B" w:rsidRDefault="00695F0B" w:rsidP="00695F0B">
      <w:pPr>
        <w:spacing w:after="0" w:line="240" w:lineRule="auto"/>
        <w:rPr>
          <w:b/>
          <w:bCs/>
          <w:sz w:val="28"/>
          <w:szCs w:val="28"/>
        </w:rPr>
      </w:pPr>
      <w:r w:rsidRPr="00695F0B">
        <w:rPr>
          <w:b/>
          <w:bCs/>
          <w:sz w:val="28"/>
          <w:szCs w:val="28"/>
        </w:rPr>
        <w:lastRenderedPageBreak/>
        <w:t>Special instructions, there will be a compulsory briefing session on the 17</w:t>
      </w:r>
      <w:r w:rsidRPr="00695F0B">
        <w:rPr>
          <w:b/>
          <w:bCs/>
          <w:sz w:val="28"/>
          <w:szCs w:val="28"/>
          <w:vertAlign w:val="superscript"/>
        </w:rPr>
        <w:t>th</w:t>
      </w:r>
      <w:r>
        <w:rPr>
          <w:b/>
          <w:bCs/>
          <w:sz w:val="28"/>
          <w:szCs w:val="28"/>
        </w:rPr>
        <w:t xml:space="preserve"> December @11h00 </w:t>
      </w:r>
      <w:r w:rsidRPr="00695F0B">
        <w:rPr>
          <w:b/>
          <w:bCs/>
          <w:sz w:val="28"/>
          <w:szCs w:val="28"/>
        </w:rPr>
        <w:t>Address</w:t>
      </w:r>
      <w:r>
        <w:rPr>
          <w:b/>
          <w:bCs/>
          <w:sz w:val="28"/>
          <w:szCs w:val="28"/>
        </w:rPr>
        <w:t>:</w:t>
      </w:r>
      <w:r w:rsidRPr="00695F0B">
        <w:rPr>
          <w:b/>
          <w:bCs/>
          <w:sz w:val="28"/>
          <w:szCs w:val="28"/>
        </w:rPr>
        <w:t xml:space="preserve"> NHLS PELONOMI (Boardroom), Care of Pelonomi hospital, DR Belcher Road Bloemfontein, Contact M Grimsell 0514050505</w:t>
      </w:r>
    </w:p>
    <w:p w:rsidR="00695F0B" w:rsidRDefault="00695F0B" w:rsidP="00695F0B">
      <w:pPr>
        <w:spacing w:after="141" w:line="264" w:lineRule="auto"/>
        <w:ind w:right="69"/>
        <w:jc w:val="both"/>
        <w:rPr>
          <w:b/>
          <w:bCs/>
          <w:sz w:val="28"/>
          <w:szCs w:val="28"/>
        </w:rPr>
      </w:pPr>
      <w:r w:rsidRPr="00695F0B">
        <w:rPr>
          <w:b/>
          <w:color w:val="000000" w:themeColor="text1"/>
          <w:sz w:val="32"/>
          <w:szCs w:val="32"/>
          <w:u w:val="single"/>
        </w:rPr>
        <w:t>K</w:t>
      </w:r>
      <w:r w:rsidRPr="00695F0B">
        <w:rPr>
          <w:b/>
          <w:bCs/>
          <w:color w:val="000000" w:themeColor="text1"/>
          <w:sz w:val="32"/>
          <w:szCs w:val="32"/>
          <w:u w:val="single"/>
        </w:rPr>
        <w:t xml:space="preserve">ROONSTAD </w:t>
      </w:r>
      <w:r>
        <w:rPr>
          <w:b/>
          <w:bCs/>
          <w:sz w:val="28"/>
          <w:szCs w:val="28"/>
          <w:u w:val="single"/>
        </w:rPr>
        <w:t xml:space="preserve">Scope of work: </w:t>
      </w:r>
      <w:r>
        <w:rPr>
          <w:b/>
          <w:bCs/>
          <w:sz w:val="28"/>
          <w:szCs w:val="28"/>
        </w:rPr>
        <w:t>Transportation of staff for a period of 6 months starting 1 January 2020</w:t>
      </w:r>
    </w:p>
    <w:p w:rsidR="00695F0B" w:rsidRDefault="00695F0B" w:rsidP="00695F0B">
      <w:pPr>
        <w:spacing w:after="141" w:line="264" w:lineRule="auto"/>
        <w:ind w:right="69"/>
        <w:jc w:val="both"/>
        <w:rPr>
          <w:b/>
          <w:bCs/>
          <w:sz w:val="28"/>
          <w:szCs w:val="28"/>
        </w:rPr>
      </w:pPr>
      <w:r w:rsidRPr="00695F0B">
        <w:rPr>
          <w:b/>
          <w:bCs/>
          <w:sz w:val="28"/>
          <w:szCs w:val="28"/>
          <w:u w:val="single"/>
        </w:rPr>
        <w:t>Req 1860612</w:t>
      </w:r>
      <w:r>
        <w:rPr>
          <w:b/>
          <w:bCs/>
          <w:sz w:val="28"/>
          <w:szCs w:val="28"/>
        </w:rPr>
        <w:t xml:space="preserve"> NHLS KROONSTAD, care of Boitumelo Hospital, Smalldeel Road Kroonstad </w:t>
      </w:r>
    </w:p>
    <w:p w:rsidR="00695F0B" w:rsidRDefault="00695F0B" w:rsidP="00695F0B">
      <w:pPr>
        <w:spacing w:after="141" w:line="264" w:lineRule="auto"/>
        <w:ind w:right="69"/>
        <w:jc w:val="both"/>
        <w:rPr>
          <w:b/>
          <w:bCs/>
          <w:sz w:val="28"/>
          <w:szCs w:val="28"/>
        </w:rPr>
      </w:pPr>
    </w:p>
    <w:p w:rsidR="00695F0B" w:rsidRDefault="00695F0B" w:rsidP="00695F0B">
      <w:pPr>
        <w:rPr>
          <w:u w:val="single"/>
        </w:rPr>
      </w:pPr>
      <w:r>
        <w:rPr>
          <w:u w:val="single"/>
        </w:rPr>
        <w:t>Requirements</w:t>
      </w:r>
    </w:p>
    <w:p w:rsidR="00695F0B" w:rsidRDefault="00695F0B" w:rsidP="00695F0B">
      <w:pPr>
        <w:rPr>
          <w:u w:val="single"/>
        </w:rPr>
      </w:pPr>
    </w:p>
    <w:p w:rsidR="00695F0B" w:rsidRDefault="00695F0B" w:rsidP="00533129">
      <w:pPr>
        <w:pStyle w:val="ListParagraph"/>
        <w:numPr>
          <w:ilvl w:val="0"/>
          <w:numId w:val="194"/>
        </w:numPr>
        <w:spacing w:after="0" w:line="240" w:lineRule="auto"/>
        <w:contextualSpacing w:val="0"/>
        <w:rPr>
          <w:u w:val="single"/>
        </w:rPr>
      </w:pPr>
      <w:r>
        <w:t>Must be registered with Transport Association</w:t>
      </w:r>
    </w:p>
    <w:p w:rsidR="00695F0B" w:rsidRDefault="00695F0B" w:rsidP="00533129">
      <w:pPr>
        <w:pStyle w:val="ListParagraph"/>
        <w:numPr>
          <w:ilvl w:val="0"/>
          <w:numId w:val="194"/>
        </w:numPr>
        <w:spacing w:after="0" w:line="240" w:lineRule="auto"/>
        <w:contextualSpacing w:val="0"/>
        <w:rPr>
          <w:u w:val="single"/>
        </w:rPr>
      </w:pPr>
      <w:r>
        <w:rPr>
          <w:lang w:val="en-GB"/>
        </w:rPr>
        <w:t>Must have valid permit to carry passengers (PDP Licence in the name of the Driver)</w:t>
      </w:r>
    </w:p>
    <w:p w:rsidR="00695F0B" w:rsidRDefault="00695F0B" w:rsidP="00533129">
      <w:pPr>
        <w:pStyle w:val="ListParagraph"/>
        <w:numPr>
          <w:ilvl w:val="0"/>
          <w:numId w:val="194"/>
        </w:numPr>
        <w:spacing w:after="0" w:line="240" w:lineRule="auto"/>
        <w:contextualSpacing w:val="0"/>
        <w:rPr>
          <w:u w:val="single"/>
        </w:rPr>
      </w:pPr>
      <w:r>
        <w:t>Car must be roadworthy</w:t>
      </w:r>
    </w:p>
    <w:p w:rsidR="00695F0B" w:rsidRDefault="00695F0B" w:rsidP="00533129">
      <w:pPr>
        <w:pStyle w:val="ListParagraph"/>
        <w:numPr>
          <w:ilvl w:val="0"/>
          <w:numId w:val="194"/>
        </w:numPr>
        <w:spacing w:after="0" w:line="240" w:lineRule="auto"/>
        <w:contextualSpacing w:val="0"/>
        <w:rPr>
          <w:u w:val="single"/>
        </w:rPr>
      </w:pPr>
      <w:r>
        <w:t>Must be safe and comfortable</w:t>
      </w:r>
    </w:p>
    <w:p w:rsidR="00695F0B" w:rsidRDefault="00695F0B" w:rsidP="00533129">
      <w:pPr>
        <w:pStyle w:val="ListParagraph"/>
        <w:numPr>
          <w:ilvl w:val="0"/>
          <w:numId w:val="194"/>
        </w:numPr>
        <w:spacing w:after="0" w:line="240" w:lineRule="auto"/>
        <w:contextualSpacing w:val="0"/>
        <w:rPr>
          <w:u w:val="single"/>
        </w:rPr>
      </w:pPr>
      <w:r>
        <w:t>Must be punctual.</w:t>
      </w:r>
    </w:p>
    <w:p w:rsidR="00695F0B" w:rsidRDefault="00695F0B" w:rsidP="00533129">
      <w:pPr>
        <w:pStyle w:val="ListParagraph"/>
        <w:numPr>
          <w:ilvl w:val="0"/>
          <w:numId w:val="194"/>
        </w:numPr>
        <w:spacing w:after="0" w:line="240" w:lineRule="auto"/>
        <w:contextualSpacing w:val="0"/>
        <w:rPr>
          <w:u w:val="single"/>
        </w:rPr>
      </w:pPr>
      <w:r>
        <w:t>Must provide transport as required at all times</w:t>
      </w:r>
    </w:p>
    <w:p w:rsidR="00695F0B" w:rsidRDefault="00695F0B" w:rsidP="00533129">
      <w:pPr>
        <w:pStyle w:val="ListParagraph"/>
        <w:numPr>
          <w:ilvl w:val="0"/>
          <w:numId w:val="194"/>
        </w:numPr>
        <w:spacing w:after="0" w:line="240" w:lineRule="auto"/>
        <w:contextualSpacing w:val="0"/>
        <w:rPr>
          <w:u w:val="single"/>
        </w:rPr>
      </w:pPr>
      <w:r>
        <w:t>Must pick up staff at NHLS Kroonstad lab and deliver at home.</w:t>
      </w:r>
    </w:p>
    <w:p w:rsidR="00695F0B" w:rsidRDefault="00695F0B" w:rsidP="00533129">
      <w:pPr>
        <w:pStyle w:val="ListParagraph"/>
        <w:numPr>
          <w:ilvl w:val="0"/>
          <w:numId w:val="194"/>
        </w:numPr>
        <w:spacing w:after="0" w:line="240" w:lineRule="auto"/>
        <w:contextualSpacing w:val="0"/>
        <w:rPr>
          <w:u w:val="single"/>
        </w:rPr>
      </w:pPr>
      <w:r>
        <w:t>Pick up staff from homes and deliver at the lab.</w:t>
      </w:r>
    </w:p>
    <w:p w:rsidR="00695F0B" w:rsidRDefault="00695F0B" w:rsidP="00533129">
      <w:pPr>
        <w:pStyle w:val="ListParagraph"/>
        <w:numPr>
          <w:ilvl w:val="0"/>
          <w:numId w:val="194"/>
        </w:numPr>
        <w:spacing w:after="0" w:line="240" w:lineRule="auto"/>
        <w:contextualSpacing w:val="0"/>
        <w:rPr>
          <w:color w:val="1F497D"/>
          <w:u w:val="single"/>
        </w:rPr>
      </w:pPr>
      <w:r>
        <w:rPr>
          <w:rFonts w:ascii="Arial" w:hAnsi="Arial" w:cs="Arial"/>
          <w:sz w:val="20"/>
          <w:szCs w:val="20"/>
        </w:rPr>
        <w:t>6 months’ contract</w:t>
      </w:r>
    </w:p>
    <w:p w:rsidR="00695F0B" w:rsidRDefault="00695F0B" w:rsidP="00533129">
      <w:pPr>
        <w:pStyle w:val="ListParagraph"/>
        <w:numPr>
          <w:ilvl w:val="0"/>
          <w:numId w:val="194"/>
        </w:numPr>
        <w:spacing w:after="0" w:line="240" w:lineRule="auto"/>
        <w:contextualSpacing w:val="0"/>
        <w:rPr>
          <w:color w:val="1F497D"/>
          <w:u w:val="single"/>
        </w:rPr>
      </w:pPr>
      <w:r>
        <w:rPr>
          <w:rFonts w:ascii="Arial" w:hAnsi="Arial" w:cs="Arial"/>
          <w:sz w:val="20"/>
          <w:szCs w:val="20"/>
        </w:rPr>
        <w:t>Rates for Kilometers</w:t>
      </w:r>
    </w:p>
    <w:p w:rsidR="00695F0B" w:rsidRDefault="00695F0B" w:rsidP="00695F0B">
      <w:pPr>
        <w:rPr>
          <w:color w:val="1F497D"/>
        </w:rPr>
      </w:pPr>
    </w:p>
    <w:p w:rsidR="00695F0B" w:rsidRDefault="00695F0B" w:rsidP="00695F0B">
      <w:pPr>
        <w:rPr>
          <w:color w:val="1F497D"/>
        </w:rPr>
      </w:pPr>
    </w:p>
    <w:p w:rsidR="00695F0B" w:rsidRDefault="00695F0B" w:rsidP="00533129">
      <w:pPr>
        <w:pStyle w:val="ListParagraph"/>
        <w:numPr>
          <w:ilvl w:val="0"/>
          <w:numId w:val="194"/>
        </w:numPr>
        <w:spacing w:after="0" w:line="240" w:lineRule="auto"/>
        <w:contextualSpacing w:val="0"/>
        <w:rPr>
          <w:u w:val="single"/>
        </w:rPr>
      </w:pPr>
      <w:r>
        <w:rPr>
          <w:color w:val="1F497D"/>
        </w:rPr>
        <w:t> </w:t>
      </w:r>
      <w:r>
        <w:t>When requested must pick up staff from home for shift 22H00 – 06H00</w:t>
      </w:r>
    </w:p>
    <w:p w:rsidR="00695F0B" w:rsidRDefault="00695F0B" w:rsidP="00533129">
      <w:pPr>
        <w:pStyle w:val="ListParagraph"/>
        <w:numPr>
          <w:ilvl w:val="0"/>
          <w:numId w:val="194"/>
        </w:numPr>
        <w:spacing w:after="0" w:line="240" w:lineRule="auto"/>
        <w:contextualSpacing w:val="0"/>
        <w:rPr>
          <w:u w:val="single"/>
        </w:rPr>
      </w:pPr>
      <w:r>
        <w:t>When requested must pick up staff from Work for shift 13h00 -22H00</w:t>
      </w:r>
    </w:p>
    <w:p w:rsidR="00695F0B" w:rsidRDefault="00695F0B" w:rsidP="00533129">
      <w:pPr>
        <w:pStyle w:val="ListParagraph"/>
        <w:numPr>
          <w:ilvl w:val="0"/>
          <w:numId w:val="194"/>
        </w:numPr>
        <w:spacing w:after="0" w:line="240" w:lineRule="auto"/>
        <w:contextualSpacing w:val="0"/>
        <w:rPr>
          <w:color w:val="000000"/>
          <w:u w:val="single"/>
        </w:rPr>
      </w:pPr>
      <w:r>
        <w:rPr>
          <w:color w:val="000000"/>
        </w:rPr>
        <w:t>The latest shift that might be required will be 12h00 midnight.</w:t>
      </w:r>
    </w:p>
    <w:p w:rsidR="00695F0B" w:rsidRDefault="00695F0B" w:rsidP="00695F0B">
      <w:pPr>
        <w:rPr>
          <w:color w:val="000000"/>
          <w:u w:val="single"/>
        </w:rPr>
      </w:pPr>
    </w:p>
    <w:p w:rsidR="00695F0B" w:rsidRDefault="00695F0B" w:rsidP="00695F0B">
      <w:pPr>
        <w:rPr>
          <w:u w:val="single"/>
        </w:rPr>
      </w:pPr>
      <w:r>
        <w:rPr>
          <w:u w:val="single"/>
        </w:rPr>
        <w:t>Shifts</w:t>
      </w:r>
    </w:p>
    <w:p w:rsidR="00695F0B" w:rsidRDefault="00695F0B" w:rsidP="00533129">
      <w:pPr>
        <w:pStyle w:val="ListParagraph"/>
        <w:numPr>
          <w:ilvl w:val="0"/>
          <w:numId w:val="195"/>
        </w:numPr>
        <w:spacing w:after="0" w:line="240" w:lineRule="auto"/>
        <w:contextualSpacing w:val="0"/>
      </w:pPr>
      <w:r>
        <w:t>22H00 – 06H00 – Pick up at their homes to NHLS Kroonstad lab 22H00</w:t>
      </w:r>
    </w:p>
    <w:p w:rsidR="00695F0B" w:rsidRDefault="00695F0B" w:rsidP="00533129">
      <w:pPr>
        <w:pStyle w:val="ListParagraph"/>
        <w:numPr>
          <w:ilvl w:val="0"/>
          <w:numId w:val="195"/>
        </w:numPr>
        <w:spacing w:after="0" w:line="240" w:lineRule="auto"/>
        <w:contextualSpacing w:val="0"/>
      </w:pPr>
      <w:r>
        <w:t>13H00 – 22H00 – Pick up at NHLS Kroonstad lab to their homes.</w:t>
      </w:r>
    </w:p>
    <w:p w:rsidR="00695F0B" w:rsidRDefault="00695F0B" w:rsidP="00533129">
      <w:pPr>
        <w:pStyle w:val="ListParagraph"/>
        <w:numPr>
          <w:ilvl w:val="0"/>
          <w:numId w:val="195"/>
        </w:numPr>
        <w:spacing w:after="0" w:line="240" w:lineRule="auto"/>
        <w:contextualSpacing w:val="0"/>
      </w:pPr>
      <w:r>
        <w:t>Shifts will be from Monday to Friday</w:t>
      </w:r>
    </w:p>
    <w:p w:rsidR="00695F0B" w:rsidRDefault="00695F0B" w:rsidP="00695F0B">
      <w:r>
        <w:t>Distance</w:t>
      </w:r>
    </w:p>
    <w:p w:rsidR="00695F0B" w:rsidRDefault="00695F0B" w:rsidP="00695F0B"/>
    <w:p w:rsidR="00695F0B" w:rsidRDefault="00695F0B" w:rsidP="00533129">
      <w:pPr>
        <w:pStyle w:val="ListParagraph"/>
        <w:numPr>
          <w:ilvl w:val="0"/>
          <w:numId w:val="196"/>
        </w:numPr>
        <w:spacing w:after="0" w:line="240" w:lineRule="auto"/>
        <w:contextualSpacing w:val="0"/>
      </w:pPr>
      <w:r>
        <w:t>Approximately 3KM - 11 KM from NHLS Kroonstad Lab/Homes</w:t>
      </w:r>
    </w:p>
    <w:p w:rsidR="00695F0B" w:rsidRDefault="00695F0B" w:rsidP="00533129">
      <w:pPr>
        <w:pStyle w:val="ListParagraph"/>
        <w:numPr>
          <w:ilvl w:val="0"/>
          <w:numId w:val="196"/>
        </w:numPr>
        <w:spacing w:after="0" w:line="240" w:lineRule="auto"/>
        <w:contextualSpacing w:val="0"/>
        <w:rPr>
          <w:color w:val="1F497D"/>
        </w:rPr>
      </w:pPr>
      <w:r>
        <w:rPr>
          <w:rFonts w:ascii="Arial" w:hAnsi="Arial" w:cs="Arial"/>
          <w:sz w:val="20"/>
          <w:szCs w:val="20"/>
        </w:rPr>
        <w:t xml:space="preserve">Maximum 3 staff members per trip </w:t>
      </w:r>
    </w:p>
    <w:p w:rsidR="00695F0B" w:rsidRDefault="00695F0B" w:rsidP="00533129">
      <w:pPr>
        <w:pStyle w:val="ListParagraph"/>
        <w:numPr>
          <w:ilvl w:val="0"/>
          <w:numId w:val="196"/>
        </w:numPr>
        <w:spacing w:after="0" w:line="240" w:lineRule="auto"/>
        <w:contextualSpacing w:val="0"/>
        <w:rPr>
          <w:rFonts w:ascii="Arial" w:hAnsi="Arial" w:cs="Arial"/>
          <w:sz w:val="20"/>
          <w:szCs w:val="20"/>
        </w:rPr>
      </w:pPr>
      <w:r>
        <w:rPr>
          <w:rFonts w:ascii="Arial" w:hAnsi="Arial" w:cs="Arial"/>
          <w:sz w:val="20"/>
          <w:szCs w:val="20"/>
        </w:rPr>
        <w:t>Staff rooster will be provided on a monthly basis</w:t>
      </w:r>
    </w:p>
    <w:p w:rsidR="000762E4" w:rsidRDefault="000762E4"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695F0B" w:rsidRPr="00695F0B" w:rsidRDefault="00695F0B" w:rsidP="00695F0B">
      <w:pPr>
        <w:spacing w:after="0" w:line="240" w:lineRule="auto"/>
        <w:rPr>
          <w:b/>
          <w:bCs/>
          <w:sz w:val="28"/>
          <w:szCs w:val="28"/>
        </w:rPr>
      </w:pPr>
      <w:r w:rsidRPr="00695F0B">
        <w:rPr>
          <w:b/>
          <w:bCs/>
          <w:sz w:val="28"/>
          <w:szCs w:val="28"/>
        </w:rPr>
        <w:t>Special instructions, there will be a compulsory briefing session on the 17</w:t>
      </w:r>
      <w:r w:rsidRPr="00695F0B">
        <w:rPr>
          <w:b/>
          <w:bCs/>
          <w:sz w:val="28"/>
          <w:szCs w:val="28"/>
          <w:vertAlign w:val="superscript"/>
        </w:rPr>
        <w:t>th</w:t>
      </w:r>
      <w:r>
        <w:rPr>
          <w:b/>
          <w:bCs/>
          <w:sz w:val="28"/>
          <w:szCs w:val="28"/>
        </w:rPr>
        <w:t xml:space="preserve"> December @11h00 </w:t>
      </w:r>
      <w:r w:rsidRPr="00695F0B">
        <w:rPr>
          <w:b/>
          <w:bCs/>
          <w:sz w:val="28"/>
          <w:szCs w:val="28"/>
        </w:rPr>
        <w:t>Address</w:t>
      </w:r>
      <w:r>
        <w:rPr>
          <w:b/>
          <w:bCs/>
          <w:sz w:val="28"/>
          <w:szCs w:val="28"/>
        </w:rPr>
        <w:t>:</w:t>
      </w:r>
      <w:r w:rsidRPr="00695F0B">
        <w:rPr>
          <w:b/>
          <w:bCs/>
          <w:sz w:val="28"/>
          <w:szCs w:val="28"/>
        </w:rPr>
        <w:t xml:space="preserve"> NHLS PELONOMI (Boardroom), Care of Pelonomi hospital, DR Belcher Road Bloemfontein, Contact M Grimsell 0514050505</w:t>
      </w:r>
    </w:p>
    <w:p w:rsidR="00C40402" w:rsidRDefault="00C40402" w:rsidP="0022464B">
      <w:pPr>
        <w:spacing w:after="141" w:line="266" w:lineRule="auto"/>
        <w:ind w:right="69"/>
        <w:jc w:val="both"/>
        <w:rPr>
          <w:rFonts w:ascii="Times New Roman" w:eastAsia="Times New Roman" w:hAnsi="Times New Roman" w:cs="Times New Roman"/>
          <w:b/>
          <w:sz w:val="28"/>
        </w:rPr>
      </w:pPr>
    </w:p>
    <w:p w:rsidR="00695F0B" w:rsidRDefault="00695F0B" w:rsidP="00695F0B">
      <w:pPr>
        <w:spacing w:after="141" w:line="264" w:lineRule="auto"/>
        <w:ind w:right="69"/>
        <w:jc w:val="both"/>
        <w:rPr>
          <w:b/>
          <w:bCs/>
          <w:color w:val="000000"/>
          <w:sz w:val="36"/>
          <w:szCs w:val="36"/>
          <w:u w:val="single"/>
        </w:rPr>
      </w:pPr>
      <w:r>
        <w:rPr>
          <w:b/>
          <w:bCs/>
          <w:color w:val="000000"/>
          <w:sz w:val="36"/>
          <w:szCs w:val="36"/>
          <w:u w:val="single"/>
        </w:rPr>
        <w:t xml:space="preserve">MANAPO </w:t>
      </w:r>
    </w:p>
    <w:p w:rsidR="00695F0B" w:rsidRDefault="00695F0B" w:rsidP="00695F0B">
      <w:pPr>
        <w:spacing w:after="141" w:line="264" w:lineRule="auto"/>
        <w:ind w:right="69"/>
        <w:jc w:val="both"/>
        <w:rPr>
          <w:b/>
          <w:bCs/>
          <w:sz w:val="24"/>
          <w:szCs w:val="24"/>
          <w:lang w:val="en-GB"/>
        </w:rPr>
      </w:pPr>
      <w:r>
        <w:rPr>
          <w:color w:val="1F497D"/>
        </w:rPr>
        <w:t> </w:t>
      </w:r>
      <w:r>
        <w:rPr>
          <w:b/>
          <w:bCs/>
          <w:sz w:val="24"/>
          <w:szCs w:val="24"/>
          <w:u w:val="single"/>
          <w:lang w:val="en-GB"/>
        </w:rPr>
        <w:t>SCOPE OF WORK</w:t>
      </w:r>
      <w:r>
        <w:rPr>
          <w:b/>
          <w:bCs/>
          <w:sz w:val="24"/>
          <w:szCs w:val="24"/>
          <w:lang w:val="en-GB"/>
        </w:rPr>
        <w:t>: TRANSPORTATION OF STAFF FOR A PERIOD OF 6 Months starting from 1 January 2020</w:t>
      </w:r>
    </w:p>
    <w:p w:rsidR="00695F0B" w:rsidRDefault="00695F0B" w:rsidP="00695F0B">
      <w:pPr>
        <w:spacing w:after="141" w:line="264" w:lineRule="auto"/>
        <w:ind w:right="69"/>
        <w:jc w:val="both"/>
        <w:rPr>
          <w:b/>
          <w:bCs/>
          <w:sz w:val="24"/>
          <w:szCs w:val="24"/>
          <w:lang w:val="en-GB"/>
        </w:rPr>
      </w:pPr>
      <w:r>
        <w:rPr>
          <w:b/>
          <w:bCs/>
          <w:sz w:val="24"/>
          <w:szCs w:val="24"/>
          <w:lang w:val="en-GB"/>
        </w:rPr>
        <w:t xml:space="preserve">Req: 1742994 NHLS MANAPO care of Manapo Hospital Motebang street Manapo QWA QWA, Phuthaditjhaba </w:t>
      </w:r>
    </w:p>
    <w:p w:rsidR="00695F0B" w:rsidRDefault="00695F0B" w:rsidP="00695F0B">
      <w:pPr>
        <w:spacing w:after="141" w:line="264" w:lineRule="auto"/>
        <w:ind w:right="69"/>
        <w:jc w:val="both"/>
        <w:rPr>
          <w:rFonts w:ascii="Verdana" w:hAnsi="Verdana"/>
          <w:b/>
          <w:bCs/>
          <w:sz w:val="24"/>
          <w:szCs w:val="24"/>
          <w:lang w:val="en-GB"/>
        </w:rPr>
      </w:pPr>
    </w:p>
    <w:p w:rsidR="00695F0B" w:rsidRDefault="00695F0B" w:rsidP="00695F0B">
      <w:pPr>
        <w:rPr>
          <w:rFonts w:ascii="Calibri" w:hAnsi="Calibri"/>
          <w:u w:val="single"/>
          <w:lang w:val="en-GB"/>
        </w:rPr>
      </w:pPr>
      <w:r>
        <w:rPr>
          <w:u w:val="single"/>
          <w:lang w:val="en-GB"/>
        </w:rPr>
        <w:t>Requirements</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be registered with Transport Association</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have valid permit to carry passengers (PDP Licence in the name of the Driver)</w:t>
      </w:r>
    </w:p>
    <w:p w:rsidR="00695F0B" w:rsidRDefault="00695F0B" w:rsidP="00533129">
      <w:pPr>
        <w:pStyle w:val="ListParagraph"/>
        <w:numPr>
          <w:ilvl w:val="0"/>
          <w:numId w:val="194"/>
        </w:numPr>
        <w:spacing w:after="0" w:line="240" w:lineRule="auto"/>
        <w:contextualSpacing w:val="0"/>
        <w:rPr>
          <w:u w:val="single"/>
          <w:lang w:val="en-GB"/>
        </w:rPr>
      </w:pPr>
      <w:r>
        <w:rPr>
          <w:lang w:val="en-GB"/>
        </w:rPr>
        <w:t>ID Document for the Driver</w:t>
      </w:r>
    </w:p>
    <w:p w:rsidR="00695F0B" w:rsidRDefault="00695F0B" w:rsidP="00533129">
      <w:pPr>
        <w:pStyle w:val="ListParagraph"/>
        <w:numPr>
          <w:ilvl w:val="0"/>
          <w:numId w:val="194"/>
        </w:numPr>
        <w:spacing w:after="0" w:line="240" w:lineRule="auto"/>
        <w:contextualSpacing w:val="0"/>
        <w:rPr>
          <w:u w:val="single"/>
          <w:lang w:val="en-GB"/>
        </w:rPr>
      </w:pPr>
      <w:r>
        <w:rPr>
          <w:lang w:val="en-GB"/>
        </w:rPr>
        <w:t>Car must be roadworthy</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be safe and comfortable</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be punctual.</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provide transport as required at all times</w:t>
      </w:r>
    </w:p>
    <w:p w:rsidR="00695F0B" w:rsidRDefault="00695F0B" w:rsidP="00533129">
      <w:pPr>
        <w:pStyle w:val="ListParagraph"/>
        <w:numPr>
          <w:ilvl w:val="0"/>
          <w:numId w:val="194"/>
        </w:numPr>
        <w:spacing w:after="0" w:line="240" w:lineRule="auto"/>
        <w:contextualSpacing w:val="0"/>
        <w:rPr>
          <w:u w:val="single"/>
          <w:lang w:val="en-GB"/>
        </w:rPr>
      </w:pPr>
      <w:r>
        <w:rPr>
          <w:lang w:val="en-GB"/>
        </w:rPr>
        <w:t>Must pick up staff at NHLS Manapo lab and deliver at home.</w:t>
      </w:r>
    </w:p>
    <w:p w:rsidR="00695F0B" w:rsidRDefault="00695F0B" w:rsidP="00533129">
      <w:pPr>
        <w:pStyle w:val="ListParagraph"/>
        <w:numPr>
          <w:ilvl w:val="0"/>
          <w:numId w:val="194"/>
        </w:numPr>
        <w:spacing w:after="0" w:line="240" w:lineRule="auto"/>
        <w:contextualSpacing w:val="0"/>
        <w:rPr>
          <w:u w:val="single"/>
          <w:lang w:val="en-GB"/>
        </w:rPr>
      </w:pPr>
      <w:r>
        <w:rPr>
          <w:lang w:val="en-GB"/>
        </w:rPr>
        <w:t>When requested must pick up staff from home for shift 19H00 – 07H00</w:t>
      </w:r>
    </w:p>
    <w:p w:rsidR="00695F0B" w:rsidRDefault="00695F0B" w:rsidP="00695F0B">
      <w:pPr>
        <w:rPr>
          <w:u w:val="single"/>
          <w:lang w:val="en-GB"/>
        </w:rPr>
      </w:pPr>
      <w:r>
        <w:rPr>
          <w:u w:val="single"/>
          <w:lang w:val="en-GB"/>
        </w:rPr>
        <w:t>Shifts</w:t>
      </w:r>
    </w:p>
    <w:p w:rsidR="00695F0B" w:rsidRDefault="00695F0B" w:rsidP="00533129">
      <w:pPr>
        <w:pStyle w:val="ListParagraph"/>
        <w:numPr>
          <w:ilvl w:val="0"/>
          <w:numId w:val="195"/>
        </w:numPr>
        <w:spacing w:after="0" w:line="240" w:lineRule="auto"/>
        <w:contextualSpacing w:val="0"/>
        <w:rPr>
          <w:lang w:val="en-GB"/>
        </w:rPr>
      </w:pPr>
      <w:r>
        <w:rPr>
          <w:lang w:val="en-GB"/>
        </w:rPr>
        <w:t xml:space="preserve">10H00 – 19H00 – Pick up at NHLS Manapo lab 19H00 </w:t>
      </w:r>
    </w:p>
    <w:p w:rsidR="00695F0B" w:rsidRDefault="00695F0B" w:rsidP="00533129">
      <w:pPr>
        <w:pStyle w:val="ListParagraph"/>
        <w:numPr>
          <w:ilvl w:val="0"/>
          <w:numId w:val="195"/>
        </w:numPr>
        <w:spacing w:after="0" w:line="240" w:lineRule="auto"/>
        <w:contextualSpacing w:val="0"/>
        <w:rPr>
          <w:lang w:val="en-GB"/>
        </w:rPr>
      </w:pPr>
      <w:r>
        <w:rPr>
          <w:lang w:val="en-GB"/>
        </w:rPr>
        <w:t>14H00 – 22H00 – Pick up at NHLS Manapo lab 22H00</w:t>
      </w:r>
    </w:p>
    <w:p w:rsidR="00695F0B" w:rsidRDefault="00695F0B" w:rsidP="00533129">
      <w:pPr>
        <w:pStyle w:val="ListParagraph"/>
        <w:numPr>
          <w:ilvl w:val="0"/>
          <w:numId w:val="195"/>
        </w:numPr>
        <w:spacing w:after="0" w:line="240" w:lineRule="auto"/>
        <w:contextualSpacing w:val="0"/>
        <w:rPr>
          <w:lang w:val="en-GB"/>
        </w:rPr>
      </w:pPr>
      <w:r>
        <w:rPr>
          <w:lang w:val="en-GB"/>
        </w:rPr>
        <w:t>19H00 – 07H00 – Pick at staff home</w:t>
      </w:r>
    </w:p>
    <w:p w:rsidR="00695F0B" w:rsidRDefault="00695F0B" w:rsidP="00533129">
      <w:pPr>
        <w:pStyle w:val="ListParagraph"/>
        <w:numPr>
          <w:ilvl w:val="0"/>
          <w:numId w:val="195"/>
        </w:numPr>
        <w:spacing w:after="0" w:line="240" w:lineRule="auto"/>
        <w:contextualSpacing w:val="0"/>
        <w:rPr>
          <w:lang w:val="en-GB"/>
        </w:rPr>
      </w:pPr>
      <w:r>
        <w:rPr>
          <w:lang w:val="en-GB"/>
        </w:rPr>
        <w:t>Shifts will be from Monday to Friday</w:t>
      </w:r>
    </w:p>
    <w:p w:rsidR="00695F0B" w:rsidRDefault="00695F0B" w:rsidP="00533129">
      <w:pPr>
        <w:pStyle w:val="ListParagraph"/>
        <w:numPr>
          <w:ilvl w:val="0"/>
          <w:numId w:val="195"/>
        </w:numPr>
        <w:spacing w:after="0" w:line="240" w:lineRule="auto"/>
        <w:contextualSpacing w:val="0"/>
        <w:rPr>
          <w:lang w:val="en-GB"/>
        </w:rPr>
      </w:pPr>
      <w:r>
        <w:rPr>
          <w:lang w:val="en-GB"/>
        </w:rPr>
        <w:t>Saturday and Sunday when requested</w:t>
      </w:r>
    </w:p>
    <w:p w:rsidR="00695F0B" w:rsidRDefault="00695F0B" w:rsidP="00695F0B">
      <w:pPr>
        <w:rPr>
          <w:lang w:val="en-GB"/>
        </w:rPr>
      </w:pPr>
      <w:r>
        <w:rPr>
          <w:lang w:val="en-GB"/>
        </w:rPr>
        <w:t>Distance</w:t>
      </w:r>
    </w:p>
    <w:p w:rsidR="00695F0B" w:rsidRDefault="00695F0B" w:rsidP="00695F0B">
      <w:pPr>
        <w:rPr>
          <w:lang w:val="en-GB"/>
        </w:rPr>
      </w:pPr>
    </w:p>
    <w:p w:rsidR="00695F0B" w:rsidRDefault="00695F0B" w:rsidP="00533129">
      <w:pPr>
        <w:pStyle w:val="ListParagraph"/>
        <w:numPr>
          <w:ilvl w:val="0"/>
          <w:numId w:val="196"/>
        </w:numPr>
        <w:spacing w:after="0" w:line="240" w:lineRule="auto"/>
        <w:contextualSpacing w:val="0"/>
        <w:rPr>
          <w:lang w:val="en-GB"/>
        </w:rPr>
      </w:pPr>
      <w:r>
        <w:rPr>
          <w:lang w:val="en-GB"/>
        </w:rPr>
        <w:t>Approximately 10 KM from NHLS Manapo Lab</w:t>
      </w:r>
    </w:p>
    <w:p w:rsidR="00695F0B" w:rsidRDefault="00695F0B" w:rsidP="00533129">
      <w:pPr>
        <w:pStyle w:val="ListParagraph"/>
        <w:numPr>
          <w:ilvl w:val="0"/>
          <w:numId w:val="196"/>
        </w:numPr>
        <w:spacing w:after="0" w:line="240" w:lineRule="auto"/>
        <w:contextualSpacing w:val="0"/>
        <w:rPr>
          <w:lang w:val="en-GB"/>
        </w:rPr>
      </w:pPr>
      <w:r>
        <w:rPr>
          <w:lang w:val="en-GB"/>
        </w:rPr>
        <w:t>Approximately 3 staff members to be picked or delivered per shift</w:t>
      </w:r>
    </w:p>
    <w:p w:rsidR="00695F0B" w:rsidRDefault="00695F0B" w:rsidP="00695F0B">
      <w:pPr>
        <w:spacing w:after="141" w:line="264" w:lineRule="auto"/>
        <w:ind w:right="69"/>
        <w:jc w:val="both"/>
        <w:rPr>
          <w:rFonts w:ascii="Times New Roman" w:hAnsi="Times New Roman" w:cs="Times New Roman"/>
          <w:b/>
          <w:bCs/>
          <w:sz w:val="28"/>
          <w:szCs w:val="28"/>
          <w:lang w:val="en-GB"/>
        </w:rPr>
      </w:pPr>
    </w:p>
    <w:p w:rsidR="000762E4" w:rsidRDefault="000762E4" w:rsidP="000762E4"/>
    <w:p w:rsidR="000762E4" w:rsidRDefault="000762E4" w:rsidP="000762E4">
      <w:pPr>
        <w:rPr>
          <w:color w:val="1F497D"/>
        </w:rPr>
      </w:pPr>
    </w:p>
    <w:p w:rsidR="00C40402" w:rsidRPr="0022464B" w:rsidRDefault="00C40402" w:rsidP="0022464B">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A1EE0">
            <w:pPr>
              <w:spacing w:after="0" w:line="256" w:lineRule="auto"/>
            </w:pPr>
            <w:r>
              <w:rPr>
                <w:rFonts w:ascii="Verdana" w:eastAsia="Verdana" w:hAnsi="Verdana" w:cs="Verdana"/>
                <w:b/>
                <w:color w:val="FF0000"/>
                <w:sz w:val="20"/>
              </w:rPr>
              <w:t>PDP Licence on the drivers Name</w:t>
            </w:r>
            <w:r w:rsidR="00C04723">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Pr="00AA1EE0" w:rsidRDefault="00AA1EE0">
            <w:pPr>
              <w:spacing w:after="0" w:line="256" w:lineRule="auto"/>
              <w:rPr>
                <w:b/>
                <w:color w:val="FF0000"/>
              </w:rPr>
            </w:pPr>
            <w:r w:rsidRPr="00AA1EE0">
              <w:rPr>
                <w:rFonts w:ascii="Verdana" w:eastAsia="Verdana" w:hAnsi="Verdana" w:cs="Verdana"/>
                <w:b/>
                <w:color w:val="FF0000"/>
                <w:sz w:val="20"/>
              </w:rPr>
              <w:t>ID Document for the Driver</w:t>
            </w:r>
            <w:r w:rsidR="00C04723" w:rsidRPr="00AA1EE0">
              <w:rPr>
                <w:rFonts w:ascii="Verdana" w:eastAsia="Verdana" w:hAnsi="Verdana" w:cs="Verdana"/>
                <w:b/>
                <w:color w:val="FF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w:t>
            </w:r>
            <w:r>
              <w:rPr>
                <w:rFonts w:ascii="Verdana" w:eastAsia="Verdana" w:hAnsi="Verdana" w:cs="Verdana"/>
                <w:color w:val="000000"/>
                <w:sz w:val="20"/>
              </w:rPr>
              <w:lastRenderedPageBreak/>
              <w:t xml:space="preserve">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533129">
      <w:pPr>
        <w:pStyle w:val="ListParagraph"/>
        <w:numPr>
          <w:ilvl w:val="0"/>
          <w:numId w:val="193"/>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rsidP="00533129">
      <w:pPr>
        <w:numPr>
          <w:ilvl w:val="0"/>
          <w:numId w:val="55"/>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rsidP="00533129">
      <w:pPr>
        <w:numPr>
          <w:ilvl w:val="0"/>
          <w:numId w:val="56"/>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rsidP="00533129">
      <w:pPr>
        <w:numPr>
          <w:ilvl w:val="0"/>
          <w:numId w:val="5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rsidP="00533129">
      <w:pPr>
        <w:numPr>
          <w:ilvl w:val="0"/>
          <w:numId w:val="58"/>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rsidP="00533129">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rsidP="00533129">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rsidP="00533129">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rsidP="00533129">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rsidP="00533129">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rsidP="00533129">
      <w:pPr>
        <w:numPr>
          <w:ilvl w:val="0"/>
          <w:numId w:val="63"/>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rsidP="00533129">
      <w:pPr>
        <w:numPr>
          <w:ilvl w:val="0"/>
          <w:numId w:val="63"/>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rsidP="00533129">
      <w:pPr>
        <w:numPr>
          <w:ilvl w:val="0"/>
          <w:numId w:val="63"/>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rsidP="00533129">
      <w:pPr>
        <w:numPr>
          <w:ilvl w:val="0"/>
          <w:numId w:val="63"/>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33129">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rsidP="00533129">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rsidP="00533129">
      <w:pPr>
        <w:numPr>
          <w:ilvl w:val="0"/>
          <w:numId w:val="64"/>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rsidP="00533129">
      <w:pPr>
        <w:numPr>
          <w:ilvl w:val="0"/>
          <w:numId w:val="64"/>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rsidP="00533129">
      <w:pPr>
        <w:numPr>
          <w:ilvl w:val="0"/>
          <w:numId w:val="64"/>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33129">
      <w:pPr>
        <w:numPr>
          <w:ilvl w:val="0"/>
          <w:numId w:val="65"/>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rsidP="00533129">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rsidP="00533129">
      <w:pPr>
        <w:numPr>
          <w:ilvl w:val="0"/>
          <w:numId w:val="67"/>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rsidP="00533129">
      <w:pPr>
        <w:numPr>
          <w:ilvl w:val="0"/>
          <w:numId w:val="67"/>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33129">
      <w:pPr>
        <w:numPr>
          <w:ilvl w:val="0"/>
          <w:numId w:val="68"/>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533129">
      <w:pPr>
        <w:numPr>
          <w:ilvl w:val="0"/>
          <w:numId w:val="69"/>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33129">
      <w:pPr>
        <w:numPr>
          <w:ilvl w:val="0"/>
          <w:numId w:val="70"/>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rsidP="00533129">
      <w:pPr>
        <w:numPr>
          <w:ilvl w:val="0"/>
          <w:numId w:val="71"/>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rsidP="00533129">
      <w:pPr>
        <w:numPr>
          <w:ilvl w:val="0"/>
          <w:numId w:val="71"/>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rsidP="00533129">
      <w:pPr>
        <w:numPr>
          <w:ilvl w:val="0"/>
          <w:numId w:val="72"/>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33129">
      <w:pPr>
        <w:numPr>
          <w:ilvl w:val="0"/>
          <w:numId w:val="73"/>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rsidP="00533129">
      <w:pPr>
        <w:numPr>
          <w:ilvl w:val="0"/>
          <w:numId w:val="74"/>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rsidP="00533129">
      <w:pPr>
        <w:numPr>
          <w:ilvl w:val="0"/>
          <w:numId w:val="75"/>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rsidP="00533129">
      <w:pPr>
        <w:numPr>
          <w:ilvl w:val="0"/>
          <w:numId w:val="75"/>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rsidP="00533129">
      <w:pPr>
        <w:numPr>
          <w:ilvl w:val="0"/>
          <w:numId w:val="75"/>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rsidP="00533129">
      <w:pPr>
        <w:numPr>
          <w:ilvl w:val="0"/>
          <w:numId w:val="76"/>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rsidP="00533129">
      <w:pPr>
        <w:numPr>
          <w:ilvl w:val="0"/>
          <w:numId w:val="77"/>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rsidP="00533129">
      <w:pPr>
        <w:numPr>
          <w:ilvl w:val="0"/>
          <w:numId w:val="77"/>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rsidP="00533129">
      <w:pPr>
        <w:numPr>
          <w:ilvl w:val="0"/>
          <w:numId w:val="77"/>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rsidP="00533129">
      <w:pPr>
        <w:numPr>
          <w:ilvl w:val="0"/>
          <w:numId w:val="77"/>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rsidP="00533129">
      <w:pPr>
        <w:numPr>
          <w:ilvl w:val="0"/>
          <w:numId w:val="77"/>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rsidP="00533129">
      <w:pPr>
        <w:numPr>
          <w:ilvl w:val="0"/>
          <w:numId w:val="78"/>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rsidP="00533129">
      <w:pPr>
        <w:numPr>
          <w:ilvl w:val="0"/>
          <w:numId w:val="79"/>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rsidP="00533129">
      <w:pPr>
        <w:numPr>
          <w:ilvl w:val="0"/>
          <w:numId w:val="80"/>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rsidP="00533129">
      <w:pPr>
        <w:numPr>
          <w:ilvl w:val="0"/>
          <w:numId w:val="8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rsidP="00533129">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rsidP="00533129">
      <w:pPr>
        <w:numPr>
          <w:ilvl w:val="0"/>
          <w:numId w:val="82"/>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rsidP="00533129">
      <w:pPr>
        <w:numPr>
          <w:ilvl w:val="0"/>
          <w:numId w:val="83"/>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rsidP="00533129">
      <w:pPr>
        <w:numPr>
          <w:ilvl w:val="0"/>
          <w:numId w:val="83"/>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rsidP="00533129">
      <w:pPr>
        <w:numPr>
          <w:ilvl w:val="0"/>
          <w:numId w:val="83"/>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rsidP="00533129">
      <w:pPr>
        <w:numPr>
          <w:ilvl w:val="0"/>
          <w:numId w:val="83"/>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rsidP="00533129">
      <w:pPr>
        <w:numPr>
          <w:ilvl w:val="0"/>
          <w:numId w:val="83"/>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rsidP="00533129">
      <w:pPr>
        <w:numPr>
          <w:ilvl w:val="0"/>
          <w:numId w:val="83"/>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rsidP="00533129">
      <w:pPr>
        <w:numPr>
          <w:ilvl w:val="0"/>
          <w:numId w:val="83"/>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rsidP="00533129">
      <w:pPr>
        <w:numPr>
          <w:ilvl w:val="0"/>
          <w:numId w:val="84"/>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rsidP="00533129">
      <w:pPr>
        <w:numPr>
          <w:ilvl w:val="0"/>
          <w:numId w:val="85"/>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rsidP="00533129">
      <w:pPr>
        <w:numPr>
          <w:ilvl w:val="0"/>
          <w:numId w:val="86"/>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rsidP="00533129">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rsidP="00533129">
      <w:pPr>
        <w:numPr>
          <w:ilvl w:val="0"/>
          <w:numId w:val="87"/>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rsidP="00533129">
      <w:pPr>
        <w:numPr>
          <w:ilvl w:val="0"/>
          <w:numId w:val="87"/>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rsidP="00533129">
      <w:pPr>
        <w:numPr>
          <w:ilvl w:val="0"/>
          <w:numId w:val="87"/>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rsidP="00533129">
      <w:pPr>
        <w:numPr>
          <w:ilvl w:val="0"/>
          <w:numId w:val="88"/>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rsidP="00533129">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rsidP="00533129">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rsidP="00533129">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rsidP="00533129">
      <w:pPr>
        <w:numPr>
          <w:ilvl w:val="0"/>
          <w:numId w:val="91"/>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rsidP="00533129">
      <w:pPr>
        <w:numPr>
          <w:ilvl w:val="0"/>
          <w:numId w:val="91"/>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4" o:title=""/>
          </v:rect>
          <o:OLEObject Type="Embed" ProgID="StaticMetafile" ShapeID="rectole0000000001" DrawAspect="Content" ObjectID="_1637573418"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4" o:title=""/>
          </v:rect>
          <o:OLEObject Type="Embed" ProgID="StaticMetafile" ShapeID="rectole0000000002" DrawAspect="Content" ObjectID="_1637573419"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rsidP="00533129">
      <w:pPr>
        <w:numPr>
          <w:ilvl w:val="0"/>
          <w:numId w:val="92"/>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rsidP="00533129">
      <w:pPr>
        <w:numPr>
          <w:ilvl w:val="0"/>
          <w:numId w:val="93"/>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rsidP="00533129">
      <w:pPr>
        <w:numPr>
          <w:ilvl w:val="0"/>
          <w:numId w:val="9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rsidP="00533129">
      <w:pPr>
        <w:numPr>
          <w:ilvl w:val="0"/>
          <w:numId w:val="9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rsidP="00533129">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rsidP="00533129">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rsidP="00533129">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rsidP="00533129">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rsidP="00533129">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rsidP="00533129">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rsidP="00533129">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rsidP="00533129">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rsidP="00533129">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rsidP="00533129">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rsidP="00533129">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rsidP="00533129">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rsidP="00533129">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rsidP="00533129">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rsidP="00533129">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rsidP="00533129">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rsidP="00533129">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rsidP="00533129">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rsidP="00533129">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rsidP="00533129">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rsidP="00533129">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rsidP="00533129">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rsidP="00533129">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rsidP="00533129">
      <w:pPr>
        <w:numPr>
          <w:ilvl w:val="0"/>
          <w:numId w:val="11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rsidP="00533129">
      <w:pPr>
        <w:numPr>
          <w:ilvl w:val="0"/>
          <w:numId w:val="11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rsidP="00533129">
      <w:pPr>
        <w:numPr>
          <w:ilvl w:val="0"/>
          <w:numId w:val="112"/>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rsidP="00533129">
      <w:pPr>
        <w:numPr>
          <w:ilvl w:val="0"/>
          <w:numId w:val="11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rsidP="00533129">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rsidP="00533129">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rsidP="00533129">
      <w:pPr>
        <w:numPr>
          <w:ilvl w:val="0"/>
          <w:numId w:val="114"/>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rsidP="00533129">
      <w:pPr>
        <w:numPr>
          <w:ilvl w:val="0"/>
          <w:numId w:val="11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rsidP="00533129">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rsidP="00533129">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rsidP="00533129">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rsidP="00533129">
      <w:pPr>
        <w:numPr>
          <w:ilvl w:val="0"/>
          <w:numId w:val="11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rsidP="00533129">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rsidP="00533129">
      <w:pPr>
        <w:numPr>
          <w:ilvl w:val="0"/>
          <w:numId w:val="11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rsidP="00533129">
      <w:pPr>
        <w:numPr>
          <w:ilvl w:val="0"/>
          <w:numId w:val="119"/>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rsidP="00533129">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rsidP="00533129">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rsidP="00533129">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rsidP="00533129">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rsidP="00533129">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rsidP="00533129">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rsidP="00533129">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rsidP="00533129">
      <w:pPr>
        <w:numPr>
          <w:ilvl w:val="0"/>
          <w:numId w:val="12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rsidP="00533129">
      <w:pPr>
        <w:numPr>
          <w:ilvl w:val="0"/>
          <w:numId w:val="12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rsidP="00533129">
      <w:pPr>
        <w:numPr>
          <w:ilvl w:val="0"/>
          <w:numId w:val="12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rsidP="00533129">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rsidP="00533129">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rsidP="00533129">
      <w:pPr>
        <w:numPr>
          <w:ilvl w:val="0"/>
          <w:numId w:val="129"/>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rsidP="00533129">
      <w:pPr>
        <w:numPr>
          <w:ilvl w:val="0"/>
          <w:numId w:val="12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rsidP="00533129">
      <w:pPr>
        <w:numPr>
          <w:ilvl w:val="0"/>
          <w:numId w:val="129"/>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rsidP="00533129">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rsidP="00533129">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rsidP="00533129">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rsidP="00533129">
      <w:pPr>
        <w:numPr>
          <w:ilvl w:val="0"/>
          <w:numId w:val="13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rsidP="00533129">
      <w:pPr>
        <w:numPr>
          <w:ilvl w:val="0"/>
          <w:numId w:val="13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rsidP="00533129">
      <w:pPr>
        <w:numPr>
          <w:ilvl w:val="0"/>
          <w:numId w:val="13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rsidP="00533129">
      <w:pPr>
        <w:numPr>
          <w:ilvl w:val="0"/>
          <w:numId w:val="13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rsidP="00533129">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rsidP="00533129">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rsidP="00533129">
      <w:pPr>
        <w:numPr>
          <w:ilvl w:val="0"/>
          <w:numId w:val="136"/>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rsidP="00533129">
      <w:pPr>
        <w:numPr>
          <w:ilvl w:val="0"/>
          <w:numId w:val="13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rsidP="00533129">
      <w:pPr>
        <w:numPr>
          <w:ilvl w:val="0"/>
          <w:numId w:val="13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rsidP="00533129">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rsidP="00533129">
      <w:pPr>
        <w:numPr>
          <w:ilvl w:val="0"/>
          <w:numId w:val="13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rsidP="00533129">
      <w:pPr>
        <w:numPr>
          <w:ilvl w:val="0"/>
          <w:numId w:val="138"/>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rsidP="00533129">
      <w:pPr>
        <w:numPr>
          <w:ilvl w:val="0"/>
          <w:numId w:val="139"/>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rsidP="00533129">
      <w:pPr>
        <w:numPr>
          <w:ilvl w:val="0"/>
          <w:numId w:val="14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rsidP="00533129">
      <w:pPr>
        <w:numPr>
          <w:ilvl w:val="0"/>
          <w:numId w:val="14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rsidP="00533129">
      <w:pPr>
        <w:numPr>
          <w:ilvl w:val="0"/>
          <w:numId w:val="14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rsidP="00533129">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rsidP="00533129">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rsidP="00533129">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rsidP="00533129">
      <w:pPr>
        <w:numPr>
          <w:ilvl w:val="0"/>
          <w:numId w:val="14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rsidP="00533129">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rsidP="00533129">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rsidP="00533129">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rsidP="00533129">
      <w:pPr>
        <w:numPr>
          <w:ilvl w:val="0"/>
          <w:numId w:val="148"/>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rsidP="00533129">
      <w:pPr>
        <w:numPr>
          <w:ilvl w:val="0"/>
          <w:numId w:val="14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rsidP="00533129">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rsidP="00533129">
      <w:pPr>
        <w:numPr>
          <w:ilvl w:val="0"/>
          <w:numId w:val="14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rsidP="00533129">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rsidP="00533129">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rsidP="00533129">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rsidP="00533129">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rsidP="00533129">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rsidP="00533129">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rsidP="00533129">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rsidP="00533129">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rsidP="00533129">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rsidP="00533129">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rsidP="00533129">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rsidP="00533129">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rsidP="00533129">
      <w:pPr>
        <w:numPr>
          <w:ilvl w:val="0"/>
          <w:numId w:val="15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rsidP="00533129">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33129">
      <w:pPr>
        <w:numPr>
          <w:ilvl w:val="0"/>
          <w:numId w:val="15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rsidP="00533129">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rsidP="00533129">
      <w:pPr>
        <w:numPr>
          <w:ilvl w:val="0"/>
          <w:numId w:val="16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rsidP="00533129">
      <w:pPr>
        <w:numPr>
          <w:ilvl w:val="0"/>
          <w:numId w:val="161"/>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rsidP="00533129">
      <w:pPr>
        <w:numPr>
          <w:ilvl w:val="0"/>
          <w:numId w:val="16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rsidP="00533129">
      <w:pPr>
        <w:numPr>
          <w:ilvl w:val="0"/>
          <w:numId w:val="16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rsidP="00533129">
      <w:pPr>
        <w:numPr>
          <w:ilvl w:val="0"/>
          <w:numId w:val="16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rsidP="00533129">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rsidP="00533129">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rsidP="00533129">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rsidP="00533129">
      <w:pPr>
        <w:numPr>
          <w:ilvl w:val="0"/>
          <w:numId w:val="167"/>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rsidP="00533129">
      <w:pPr>
        <w:numPr>
          <w:ilvl w:val="0"/>
          <w:numId w:val="167"/>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rsidP="00533129">
      <w:pPr>
        <w:numPr>
          <w:ilvl w:val="0"/>
          <w:numId w:val="167"/>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rsidP="00533129">
      <w:pPr>
        <w:numPr>
          <w:ilvl w:val="0"/>
          <w:numId w:val="167"/>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rsidP="00533129">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rsidP="00533129">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rsidP="00533129">
      <w:pPr>
        <w:numPr>
          <w:ilvl w:val="0"/>
          <w:numId w:val="16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rsidP="00533129">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rsidP="00533129">
      <w:pPr>
        <w:numPr>
          <w:ilvl w:val="0"/>
          <w:numId w:val="170"/>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rsidP="00533129">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rsidP="00533129">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rsidP="00533129">
      <w:pPr>
        <w:numPr>
          <w:ilvl w:val="0"/>
          <w:numId w:val="17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rsidP="00533129">
      <w:pPr>
        <w:numPr>
          <w:ilvl w:val="0"/>
          <w:numId w:val="172"/>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rsidP="00533129">
      <w:pPr>
        <w:numPr>
          <w:ilvl w:val="0"/>
          <w:numId w:val="17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rsidP="00533129">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rsidP="00533129">
      <w:pPr>
        <w:numPr>
          <w:ilvl w:val="0"/>
          <w:numId w:val="17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rsidP="00533129">
      <w:pPr>
        <w:numPr>
          <w:ilvl w:val="0"/>
          <w:numId w:val="175"/>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rsidP="00533129">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rsidP="00533129">
      <w:pPr>
        <w:numPr>
          <w:ilvl w:val="0"/>
          <w:numId w:val="176"/>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rsidP="00533129">
      <w:pPr>
        <w:numPr>
          <w:ilvl w:val="0"/>
          <w:numId w:val="17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rsidP="00533129">
      <w:pPr>
        <w:numPr>
          <w:ilvl w:val="0"/>
          <w:numId w:val="177"/>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rsidP="00533129">
      <w:pPr>
        <w:numPr>
          <w:ilvl w:val="0"/>
          <w:numId w:val="17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rsidP="00533129">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rsidP="00533129">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rsidP="00533129">
      <w:pPr>
        <w:numPr>
          <w:ilvl w:val="0"/>
          <w:numId w:val="17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rsidP="00533129">
      <w:pPr>
        <w:numPr>
          <w:ilvl w:val="0"/>
          <w:numId w:val="18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rsidP="00533129">
      <w:pPr>
        <w:numPr>
          <w:ilvl w:val="0"/>
          <w:numId w:val="18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rsidP="00533129">
      <w:pPr>
        <w:numPr>
          <w:ilvl w:val="0"/>
          <w:numId w:val="18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rsidP="00533129">
      <w:pPr>
        <w:numPr>
          <w:ilvl w:val="0"/>
          <w:numId w:val="18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rsidP="00533129">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rsidP="00533129">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rsidP="00533129">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rsidP="00533129">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rsidP="00533129">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rsidP="00533129">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rsidP="00533129">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rsidP="00533129">
      <w:pPr>
        <w:numPr>
          <w:ilvl w:val="0"/>
          <w:numId w:val="18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rsidP="00533129">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rsidP="00533129">
      <w:pPr>
        <w:numPr>
          <w:ilvl w:val="0"/>
          <w:numId w:val="18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rsidP="00533129">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rsidP="00533129">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rsidP="00533129">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DD4D8D">
      <w:pPr>
        <w:spacing w:after="191"/>
        <w:ind w:right="74"/>
        <w:jc w:val="center"/>
        <w:rPr>
          <w:rFonts w:ascii="Verdana" w:eastAsia="Verdana" w:hAnsi="Verdana" w:cs="Verdana"/>
          <w:b/>
          <w:color w:val="000000"/>
          <w:sz w:val="18"/>
        </w:rPr>
      </w:pPr>
      <w:r>
        <w:rPr>
          <w:rFonts w:ascii="Verdana" w:eastAsia="Verdana" w:hAnsi="Verdana" w:cs="Verdana"/>
          <w:b/>
          <w:color w:val="000000"/>
          <w:sz w:val="18"/>
        </w:rPr>
        <w:t>TRANSPORTATION OF STAFF VARIOUS 1742994, 1860612</w:t>
      </w:r>
      <w:r w:rsidR="00C40402">
        <w:rPr>
          <w:rFonts w:ascii="Verdana" w:eastAsia="Verdana" w:hAnsi="Verdana" w:cs="Verdana"/>
          <w:b/>
          <w:color w:val="000000"/>
          <w:sz w:val="18"/>
        </w:rPr>
        <w:t xml:space="preserve"> </w:t>
      </w: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rsidP="00533129">
      <w:pPr>
        <w:numPr>
          <w:ilvl w:val="0"/>
          <w:numId w:val="191"/>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rsidP="00533129">
      <w:pPr>
        <w:numPr>
          <w:ilvl w:val="0"/>
          <w:numId w:val="192"/>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129" w:rsidRDefault="00533129" w:rsidP="00C425A3">
      <w:pPr>
        <w:spacing w:after="0" w:line="240" w:lineRule="auto"/>
      </w:pPr>
      <w:r>
        <w:separator/>
      </w:r>
    </w:p>
  </w:endnote>
  <w:endnote w:type="continuationSeparator" w:id="0">
    <w:p w:rsidR="00533129" w:rsidRDefault="00533129"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129" w:rsidRDefault="00533129" w:rsidP="00C425A3">
      <w:pPr>
        <w:spacing w:after="0" w:line="240" w:lineRule="auto"/>
      </w:pPr>
      <w:r>
        <w:separator/>
      </w:r>
    </w:p>
  </w:footnote>
  <w:footnote w:type="continuationSeparator" w:id="0">
    <w:p w:rsidR="00533129" w:rsidRDefault="00533129"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39A3782"/>
    <w:multiLevelType w:val="hybridMultilevel"/>
    <w:tmpl w:val="4C4E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FCC3BF7"/>
    <w:multiLevelType w:val="hybridMultilevel"/>
    <w:tmpl w:val="5376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7"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74900A4C"/>
    <w:multiLevelType w:val="hybridMultilevel"/>
    <w:tmpl w:val="6114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4"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2"/>
  </w:num>
  <w:num w:numId="2">
    <w:abstractNumId w:val="75"/>
  </w:num>
  <w:num w:numId="3">
    <w:abstractNumId w:val="92"/>
  </w:num>
  <w:num w:numId="4">
    <w:abstractNumId w:val="56"/>
  </w:num>
  <w:num w:numId="5">
    <w:abstractNumId w:val="188"/>
  </w:num>
  <w:num w:numId="6">
    <w:abstractNumId w:val="23"/>
  </w:num>
  <w:num w:numId="7">
    <w:abstractNumId w:val="165"/>
  </w:num>
  <w:num w:numId="8">
    <w:abstractNumId w:val="29"/>
  </w:num>
  <w:num w:numId="9">
    <w:abstractNumId w:val="15"/>
  </w:num>
  <w:num w:numId="10">
    <w:abstractNumId w:val="69"/>
  </w:num>
  <w:num w:numId="11">
    <w:abstractNumId w:val="85"/>
  </w:num>
  <w:num w:numId="12">
    <w:abstractNumId w:val="34"/>
  </w:num>
  <w:num w:numId="13">
    <w:abstractNumId w:val="157"/>
  </w:num>
  <w:num w:numId="14">
    <w:abstractNumId w:val="141"/>
  </w:num>
  <w:num w:numId="15">
    <w:abstractNumId w:val="169"/>
  </w:num>
  <w:num w:numId="16">
    <w:abstractNumId w:val="40"/>
  </w:num>
  <w:num w:numId="17">
    <w:abstractNumId w:val="17"/>
  </w:num>
  <w:num w:numId="18">
    <w:abstractNumId w:val="130"/>
  </w:num>
  <w:num w:numId="19">
    <w:abstractNumId w:val="24"/>
  </w:num>
  <w:num w:numId="20">
    <w:abstractNumId w:val="50"/>
  </w:num>
  <w:num w:numId="21">
    <w:abstractNumId w:val="117"/>
  </w:num>
  <w:num w:numId="22">
    <w:abstractNumId w:val="39"/>
  </w:num>
  <w:num w:numId="23">
    <w:abstractNumId w:val="100"/>
  </w:num>
  <w:num w:numId="24">
    <w:abstractNumId w:val="122"/>
  </w:num>
  <w:num w:numId="25">
    <w:abstractNumId w:val="42"/>
  </w:num>
  <w:num w:numId="26">
    <w:abstractNumId w:val="147"/>
  </w:num>
  <w:num w:numId="27">
    <w:abstractNumId w:val="20"/>
  </w:num>
  <w:num w:numId="28">
    <w:abstractNumId w:val="21"/>
  </w:num>
  <w:num w:numId="29">
    <w:abstractNumId w:val="97"/>
  </w:num>
  <w:num w:numId="30">
    <w:abstractNumId w:val="120"/>
  </w:num>
  <w:num w:numId="31">
    <w:abstractNumId w:val="125"/>
  </w:num>
  <w:num w:numId="32">
    <w:abstractNumId w:val="19"/>
  </w:num>
  <w:num w:numId="33">
    <w:abstractNumId w:val="118"/>
  </w:num>
  <w:num w:numId="34">
    <w:abstractNumId w:val="93"/>
  </w:num>
  <w:num w:numId="35">
    <w:abstractNumId w:val="109"/>
  </w:num>
  <w:num w:numId="36">
    <w:abstractNumId w:val="90"/>
  </w:num>
  <w:num w:numId="37">
    <w:abstractNumId w:val="145"/>
  </w:num>
  <w:num w:numId="38">
    <w:abstractNumId w:val="95"/>
  </w:num>
  <w:num w:numId="39">
    <w:abstractNumId w:val="59"/>
  </w:num>
  <w:num w:numId="40">
    <w:abstractNumId w:val="144"/>
  </w:num>
  <w:num w:numId="41">
    <w:abstractNumId w:val="45"/>
  </w:num>
  <w:num w:numId="42">
    <w:abstractNumId w:val="64"/>
  </w:num>
  <w:num w:numId="43">
    <w:abstractNumId w:val="101"/>
  </w:num>
  <w:num w:numId="44">
    <w:abstractNumId w:val="123"/>
  </w:num>
  <w:num w:numId="45">
    <w:abstractNumId w:val="113"/>
  </w:num>
  <w:num w:numId="46">
    <w:abstractNumId w:val="179"/>
  </w:num>
  <w:num w:numId="47">
    <w:abstractNumId w:val="175"/>
  </w:num>
  <w:num w:numId="48">
    <w:abstractNumId w:val="181"/>
  </w:num>
  <w:num w:numId="49">
    <w:abstractNumId w:val="121"/>
  </w:num>
  <w:num w:numId="50">
    <w:abstractNumId w:val="38"/>
  </w:num>
  <w:num w:numId="51">
    <w:abstractNumId w:val="9"/>
  </w:num>
  <w:num w:numId="52">
    <w:abstractNumId w:val="108"/>
  </w:num>
  <w:num w:numId="53">
    <w:abstractNumId w:val="194"/>
  </w:num>
  <w:num w:numId="54">
    <w:abstractNumId w:val="150"/>
  </w:num>
  <w:num w:numId="55">
    <w:abstractNumId w:val="61"/>
  </w:num>
  <w:num w:numId="56">
    <w:abstractNumId w:val="110"/>
  </w:num>
  <w:num w:numId="57">
    <w:abstractNumId w:val="32"/>
  </w:num>
  <w:num w:numId="58">
    <w:abstractNumId w:val="49"/>
  </w:num>
  <w:num w:numId="59">
    <w:abstractNumId w:val="6"/>
  </w:num>
  <w:num w:numId="60">
    <w:abstractNumId w:val="91"/>
  </w:num>
  <w:num w:numId="61">
    <w:abstractNumId w:val="96"/>
  </w:num>
  <w:num w:numId="62">
    <w:abstractNumId w:val="160"/>
  </w:num>
  <w:num w:numId="63">
    <w:abstractNumId w:val="71"/>
  </w:num>
  <w:num w:numId="64">
    <w:abstractNumId w:val="185"/>
  </w:num>
  <w:num w:numId="65">
    <w:abstractNumId w:val="72"/>
  </w:num>
  <w:num w:numId="66">
    <w:abstractNumId w:val="143"/>
  </w:num>
  <w:num w:numId="67">
    <w:abstractNumId w:val="180"/>
  </w:num>
  <w:num w:numId="68">
    <w:abstractNumId w:val="11"/>
  </w:num>
  <w:num w:numId="69">
    <w:abstractNumId w:val="148"/>
  </w:num>
  <w:num w:numId="70">
    <w:abstractNumId w:val="99"/>
  </w:num>
  <w:num w:numId="71">
    <w:abstractNumId w:val="67"/>
  </w:num>
  <w:num w:numId="72">
    <w:abstractNumId w:val="78"/>
  </w:num>
  <w:num w:numId="73">
    <w:abstractNumId w:val="107"/>
  </w:num>
  <w:num w:numId="74">
    <w:abstractNumId w:val="79"/>
  </w:num>
  <w:num w:numId="75">
    <w:abstractNumId w:val="65"/>
  </w:num>
  <w:num w:numId="76">
    <w:abstractNumId w:val="149"/>
  </w:num>
  <w:num w:numId="77">
    <w:abstractNumId w:val="103"/>
  </w:num>
  <w:num w:numId="78">
    <w:abstractNumId w:val="182"/>
  </w:num>
  <w:num w:numId="79">
    <w:abstractNumId w:val="0"/>
  </w:num>
  <w:num w:numId="80">
    <w:abstractNumId w:val="53"/>
  </w:num>
  <w:num w:numId="81">
    <w:abstractNumId w:val="60"/>
  </w:num>
  <w:num w:numId="82">
    <w:abstractNumId w:val="36"/>
  </w:num>
  <w:num w:numId="83">
    <w:abstractNumId w:val="22"/>
  </w:num>
  <w:num w:numId="84">
    <w:abstractNumId w:val="35"/>
  </w:num>
  <w:num w:numId="85">
    <w:abstractNumId w:val="131"/>
  </w:num>
  <w:num w:numId="86">
    <w:abstractNumId w:val="1"/>
  </w:num>
  <w:num w:numId="87">
    <w:abstractNumId w:val="155"/>
  </w:num>
  <w:num w:numId="88">
    <w:abstractNumId w:val="174"/>
  </w:num>
  <w:num w:numId="89">
    <w:abstractNumId w:val="137"/>
  </w:num>
  <w:num w:numId="90">
    <w:abstractNumId w:val="159"/>
  </w:num>
  <w:num w:numId="91">
    <w:abstractNumId w:val="8"/>
  </w:num>
  <w:num w:numId="92">
    <w:abstractNumId w:val="27"/>
  </w:num>
  <w:num w:numId="93">
    <w:abstractNumId w:val="88"/>
  </w:num>
  <w:num w:numId="94">
    <w:abstractNumId w:val="129"/>
  </w:num>
  <w:num w:numId="95">
    <w:abstractNumId w:val="48"/>
  </w:num>
  <w:num w:numId="96">
    <w:abstractNumId w:val="156"/>
  </w:num>
  <w:num w:numId="97">
    <w:abstractNumId w:val="82"/>
  </w:num>
  <w:num w:numId="98">
    <w:abstractNumId w:val="126"/>
  </w:num>
  <w:num w:numId="99">
    <w:abstractNumId w:val="167"/>
  </w:num>
  <w:num w:numId="100">
    <w:abstractNumId w:val="18"/>
  </w:num>
  <w:num w:numId="101">
    <w:abstractNumId w:val="76"/>
  </w:num>
  <w:num w:numId="102">
    <w:abstractNumId w:val="176"/>
  </w:num>
  <w:num w:numId="103">
    <w:abstractNumId w:val="146"/>
  </w:num>
  <w:num w:numId="104">
    <w:abstractNumId w:val="62"/>
  </w:num>
  <w:num w:numId="105">
    <w:abstractNumId w:val="70"/>
  </w:num>
  <w:num w:numId="106">
    <w:abstractNumId w:val="116"/>
  </w:num>
  <w:num w:numId="107">
    <w:abstractNumId w:val="151"/>
  </w:num>
  <w:num w:numId="108">
    <w:abstractNumId w:val="152"/>
  </w:num>
  <w:num w:numId="109">
    <w:abstractNumId w:val="46"/>
  </w:num>
  <w:num w:numId="110">
    <w:abstractNumId w:val="5"/>
  </w:num>
  <w:num w:numId="111">
    <w:abstractNumId w:val="153"/>
  </w:num>
  <w:num w:numId="112">
    <w:abstractNumId w:val="124"/>
  </w:num>
  <w:num w:numId="113">
    <w:abstractNumId w:val="25"/>
  </w:num>
  <w:num w:numId="114">
    <w:abstractNumId w:val="138"/>
  </w:num>
  <w:num w:numId="115">
    <w:abstractNumId w:val="98"/>
  </w:num>
  <w:num w:numId="116">
    <w:abstractNumId w:val="12"/>
  </w:num>
  <w:num w:numId="117">
    <w:abstractNumId w:val="7"/>
  </w:num>
  <w:num w:numId="118">
    <w:abstractNumId w:val="154"/>
  </w:num>
  <w:num w:numId="119">
    <w:abstractNumId w:val="114"/>
  </w:num>
  <w:num w:numId="120">
    <w:abstractNumId w:val="191"/>
  </w:num>
  <w:num w:numId="121">
    <w:abstractNumId w:val="112"/>
  </w:num>
  <w:num w:numId="122">
    <w:abstractNumId w:val="54"/>
  </w:num>
  <w:num w:numId="123">
    <w:abstractNumId w:val="193"/>
  </w:num>
  <w:num w:numId="124">
    <w:abstractNumId w:val="139"/>
  </w:num>
  <w:num w:numId="125">
    <w:abstractNumId w:val="168"/>
  </w:num>
  <w:num w:numId="126">
    <w:abstractNumId w:val="158"/>
  </w:num>
  <w:num w:numId="127">
    <w:abstractNumId w:val="111"/>
  </w:num>
  <w:num w:numId="128">
    <w:abstractNumId w:val="52"/>
  </w:num>
  <w:num w:numId="129">
    <w:abstractNumId w:val="172"/>
  </w:num>
  <w:num w:numId="130">
    <w:abstractNumId w:val="55"/>
  </w:num>
  <w:num w:numId="131">
    <w:abstractNumId w:val="87"/>
  </w:num>
  <w:num w:numId="132">
    <w:abstractNumId w:val="178"/>
  </w:num>
  <w:num w:numId="133">
    <w:abstractNumId w:val="44"/>
  </w:num>
  <w:num w:numId="134">
    <w:abstractNumId w:val="189"/>
  </w:num>
  <w:num w:numId="135">
    <w:abstractNumId w:val="4"/>
  </w:num>
  <w:num w:numId="136">
    <w:abstractNumId w:val="26"/>
  </w:num>
  <w:num w:numId="137">
    <w:abstractNumId w:val="58"/>
  </w:num>
  <w:num w:numId="138">
    <w:abstractNumId w:val="190"/>
  </w:num>
  <w:num w:numId="139">
    <w:abstractNumId w:val="10"/>
  </w:num>
  <w:num w:numId="140">
    <w:abstractNumId w:val="105"/>
  </w:num>
  <w:num w:numId="141">
    <w:abstractNumId w:val="135"/>
  </w:num>
  <w:num w:numId="142">
    <w:abstractNumId w:val="47"/>
  </w:num>
  <w:num w:numId="143">
    <w:abstractNumId w:val="133"/>
  </w:num>
  <w:num w:numId="144">
    <w:abstractNumId w:val="57"/>
  </w:num>
  <w:num w:numId="145">
    <w:abstractNumId w:val="187"/>
  </w:num>
  <w:num w:numId="146">
    <w:abstractNumId w:val="3"/>
  </w:num>
  <w:num w:numId="147">
    <w:abstractNumId w:val="43"/>
  </w:num>
  <w:num w:numId="148">
    <w:abstractNumId w:val="84"/>
  </w:num>
  <w:num w:numId="149">
    <w:abstractNumId w:val="134"/>
  </w:num>
  <w:num w:numId="150">
    <w:abstractNumId w:val="37"/>
  </w:num>
  <w:num w:numId="151">
    <w:abstractNumId w:val="170"/>
  </w:num>
  <w:num w:numId="152">
    <w:abstractNumId w:val="2"/>
  </w:num>
  <w:num w:numId="153">
    <w:abstractNumId w:val="119"/>
  </w:num>
  <w:num w:numId="154">
    <w:abstractNumId w:val="104"/>
  </w:num>
  <w:num w:numId="155">
    <w:abstractNumId w:val="83"/>
  </w:num>
  <w:num w:numId="156">
    <w:abstractNumId w:val="164"/>
  </w:num>
  <w:num w:numId="157">
    <w:abstractNumId w:val="89"/>
  </w:num>
  <w:num w:numId="158">
    <w:abstractNumId w:val="51"/>
  </w:num>
  <w:num w:numId="159">
    <w:abstractNumId w:val="33"/>
  </w:num>
  <w:num w:numId="160">
    <w:abstractNumId w:val="177"/>
  </w:num>
  <w:num w:numId="161">
    <w:abstractNumId w:val="31"/>
  </w:num>
  <w:num w:numId="162">
    <w:abstractNumId w:val="192"/>
  </w:num>
  <w:num w:numId="163">
    <w:abstractNumId w:val="195"/>
  </w:num>
  <w:num w:numId="164">
    <w:abstractNumId w:val="136"/>
  </w:num>
  <w:num w:numId="165">
    <w:abstractNumId w:val="13"/>
  </w:num>
  <w:num w:numId="166">
    <w:abstractNumId w:val="80"/>
  </w:num>
  <w:num w:numId="167">
    <w:abstractNumId w:val="142"/>
  </w:num>
  <w:num w:numId="168">
    <w:abstractNumId w:val="132"/>
  </w:num>
  <w:num w:numId="169">
    <w:abstractNumId w:val="140"/>
  </w:num>
  <w:num w:numId="170">
    <w:abstractNumId w:val="16"/>
  </w:num>
  <w:num w:numId="171">
    <w:abstractNumId w:val="14"/>
  </w:num>
  <w:num w:numId="172">
    <w:abstractNumId w:val="184"/>
  </w:num>
  <w:num w:numId="173">
    <w:abstractNumId w:val="86"/>
  </w:num>
  <w:num w:numId="174">
    <w:abstractNumId w:val="94"/>
  </w:num>
  <w:num w:numId="175">
    <w:abstractNumId w:val="77"/>
  </w:num>
  <w:num w:numId="176">
    <w:abstractNumId w:val="171"/>
  </w:num>
  <w:num w:numId="177">
    <w:abstractNumId w:val="106"/>
  </w:num>
  <w:num w:numId="178">
    <w:abstractNumId w:val="186"/>
  </w:num>
  <w:num w:numId="179">
    <w:abstractNumId w:val="63"/>
  </w:num>
  <w:num w:numId="180">
    <w:abstractNumId w:val="28"/>
  </w:num>
  <w:num w:numId="181">
    <w:abstractNumId w:val="41"/>
  </w:num>
  <w:num w:numId="182">
    <w:abstractNumId w:val="73"/>
  </w:num>
  <w:num w:numId="183">
    <w:abstractNumId w:val="183"/>
  </w:num>
  <w:num w:numId="184">
    <w:abstractNumId w:val="128"/>
  </w:num>
  <w:num w:numId="185">
    <w:abstractNumId w:val="68"/>
  </w:num>
  <w:num w:numId="186">
    <w:abstractNumId w:val="74"/>
  </w:num>
  <w:num w:numId="187">
    <w:abstractNumId w:val="81"/>
  </w:num>
  <w:num w:numId="188">
    <w:abstractNumId w:val="163"/>
  </w:num>
  <w:num w:numId="189">
    <w:abstractNumId w:val="115"/>
  </w:num>
  <w:num w:numId="190">
    <w:abstractNumId w:val="161"/>
  </w:num>
  <w:num w:numId="191">
    <w:abstractNumId w:val="66"/>
  </w:num>
  <w:num w:numId="192">
    <w:abstractNumId w:val="127"/>
  </w:num>
  <w:num w:numId="193">
    <w:abstractNumId w:val="162"/>
  </w:num>
  <w:num w:numId="194">
    <w:abstractNumId w:val="30"/>
    <w:lvlOverride w:ilvl="0"/>
    <w:lvlOverride w:ilvl="1"/>
    <w:lvlOverride w:ilvl="2"/>
    <w:lvlOverride w:ilvl="3"/>
    <w:lvlOverride w:ilvl="4"/>
    <w:lvlOverride w:ilvl="5"/>
    <w:lvlOverride w:ilvl="6"/>
    <w:lvlOverride w:ilvl="7"/>
    <w:lvlOverride w:ilvl="8"/>
  </w:num>
  <w:num w:numId="195">
    <w:abstractNumId w:val="173"/>
    <w:lvlOverride w:ilvl="0"/>
    <w:lvlOverride w:ilvl="1"/>
    <w:lvlOverride w:ilvl="2"/>
    <w:lvlOverride w:ilvl="3"/>
    <w:lvlOverride w:ilvl="4"/>
    <w:lvlOverride w:ilvl="5"/>
    <w:lvlOverride w:ilvl="6"/>
    <w:lvlOverride w:ilvl="7"/>
    <w:lvlOverride w:ilvl="8"/>
  </w:num>
  <w:num w:numId="196">
    <w:abstractNumId w:val="166"/>
    <w:lvlOverride w:ilvl="0"/>
    <w:lvlOverride w:ilvl="1"/>
    <w:lvlOverride w:ilvl="2"/>
    <w:lvlOverride w:ilvl="3"/>
    <w:lvlOverride w:ilvl="4"/>
    <w:lvlOverride w:ilvl="5"/>
    <w:lvlOverride w:ilvl="6"/>
    <w:lvlOverride w:ilvl="7"/>
    <w:lvlOverride w:ilvl="8"/>
  </w:num>
  <w:numIdMacAtCleanup w:val="1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GB"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43E95"/>
    <w:rsid w:val="0006576D"/>
    <w:rsid w:val="000762E4"/>
    <w:rsid w:val="000C1ED7"/>
    <w:rsid w:val="000C5FA4"/>
    <w:rsid w:val="0011084E"/>
    <w:rsid w:val="00112544"/>
    <w:rsid w:val="00114A6B"/>
    <w:rsid w:val="00142338"/>
    <w:rsid w:val="0017240D"/>
    <w:rsid w:val="00181442"/>
    <w:rsid w:val="00203EC4"/>
    <w:rsid w:val="002070E5"/>
    <w:rsid w:val="0022464B"/>
    <w:rsid w:val="002F435B"/>
    <w:rsid w:val="00301DA4"/>
    <w:rsid w:val="00370CA0"/>
    <w:rsid w:val="00397B78"/>
    <w:rsid w:val="003C281F"/>
    <w:rsid w:val="003E3B25"/>
    <w:rsid w:val="003F316C"/>
    <w:rsid w:val="004008DF"/>
    <w:rsid w:val="00445F41"/>
    <w:rsid w:val="0044721F"/>
    <w:rsid w:val="004A33AF"/>
    <w:rsid w:val="004E11A3"/>
    <w:rsid w:val="00533129"/>
    <w:rsid w:val="00561589"/>
    <w:rsid w:val="00571272"/>
    <w:rsid w:val="0059244C"/>
    <w:rsid w:val="005C5A27"/>
    <w:rsid w:val="00695F0B"/>
    <w:rsid w:val="006A06A0"/>
    <w:rsid w:val="006C01CB"/>
    <w:rsid w:val="00730ABF"/>
    <w:rsid w:val="007721DB"/>
    <w:rsid w:val="00796768"/>
    <w:rsid w:val="007B19E5"/>
    <w:rsid w:val="00810C16"/>
    <w:rsid w:val="00840B92"/>
    <w:rsid w:val="0089238D"/>
    <w:rsid w:val="00904D8B"/>
    <w:rsid w:val="00912530"/>
    <w:rsid w:val="009214BF"/>
    <w:rsid w:val="009B2B4D"/>
    <w:rsid w:val="009B2EB7"/>
    <w:rsid w:val="009C1487"/>
    <w:rsid w:val="009E5B86"/>
    <w:rsid w:val="00A005D2"/>
    <w:rsid w:val="00A205D3"/>
    <w:rsid w:val="00A4371A"/>
    <w:rsid w:val="00A46984"/>
    <w:rsid w:val="00A57C2E"/>
    <w:rsid w:val="00A807DD"/>
    <w:rsid w:val="00AA1EE0"/>
    <w:rsid w:val="00AA4CF4"/>
    <w:rsid w:val="00AA7F66"/>
    <w:rsid w:val="00AF3E97"/>
    <w:rsid w:val="00B02E25"/>
    <w:rsid w:val="00BC47E4"/>
    <w:rsid w:val="00C01483"/>
    <w:rsid w:val="00C04723"/>
    <w:rsid w:val="00C25388"/>
    <w:rsid w:val="00C27725"/>
    <w:rsid w:val="00C32D82"/>
    <w:rsid w:val="00C33C7F"/>
    <w:rsid w:val="00C40402"/>
    <w:rsid w:val="00C425A3"/>
    <w:rsid w:val="00C6629B"/>
    <w:rsid w:val="00C8693C"/>
    <w:rsid w:val="00CB5FB7"/>
    <w:rsid w:val="00D641FB"/>
    <w:rsid w:val="00D93B2E"/>
    <w:rsid w:val="00DD4D8D"/>
    <w:rsid w:val="00E05109"/>
    <w:rsid w:val="00E14875"/>
    <w:rsid w:val="00E725E0"/>
    <w:rsid w:val="00ED4CF3"/>
    <w:rsid w:val="00F6711F"/>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0C41"/>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01874243">
      <w:bodyDiv w:val="1"/>
      <w:marLeft w:val="0"/>
      <w:marRight w:val="0"/>
      <w:marTop w:val="0"/>
      <w:marBottom w:val="0"/>
      <w:divBdr>
        <w:top w:val="none" w:sz="0" w:space="0" w:color="auto"/>
        <w:left w:val="none" w:sz="0" w:space="0" w:color="auto"/>
        <w:bottom w:val="none" w:sz="0" w:space="0" w:color="auto"/>
        <w:right w:val="none" w:sz="0" w:space="0" w:color="auto"/>
      </w:divBdr>
    </w:div>
    <w:div w:id="1220677147">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445926316">
      <w:bodyDiv w:val="1"/>
      <w:marLeft w:val="0"/>
      <w:marRight w:val="0"/>
      <w:marTop w:val="0"/>
      <w:marBottom w:val="0"/>
      <w:divBdr>
        <w:top w:val="none" w:sz="0" w:space="0" w:color="auto"/>
        <w:left w:val="none" w:sz="0" w:space="0" w:color="auto"/>
        <w:bottom w:val="none" w:sz="0" w:space="0" w:color="auto"/>
        <w:right w:val="none" w:sz="0" w:space="0" w:color="auto"/>
      </w:divBdr>
    </w:div>
    <w:div w:id="160164409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1898199899">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12713</Words>
  <Characters>72470</Characters>
  <Application>Microsoft Office Word</Application>
  <DocSecurity>0</DocSecurity>
  <Lines>603</Lines>
  <Paragraphs>170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dcterms:created xsi:type="dcterms:W3CDTF">2019-12-11T10:44:00Z</dcterms:created>
  <dcterms:modified xsi:type="dcterms:W3CDTF">2019-12-11T10:44:00Z</dcterms:modified>
</cp:coreProperties>
</file>