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12535F">
            <w:pPr>
              <w:spacing w:after="0" w:line="259" w:lineRule="auto"/>
              <w:ind w:left="2" w:firstLine="0"/>
              <w:jc w:val="left"/>
            </w:pPr>
            <w:r>
              <w:rPr>
                <w:b/>
              </w:rPr>
              <w:t xml:space="preserve">RFQ NO: </w:t>
            </w:r>
            <w:r w:rsidR="0012535F" w:rsidRPr="0012535F">
              <w:rPr>
                <w:b/>
              </w:rPr>
              <w:t>0647897</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12535F">
            <w:pPr>
              <w:spacing w:after="0" w:line="259" w:lineRule="auto"/>
              <w:ind w:left="2" w:firstLine="0"/>
              <w:jc w:val="left"/>
            </w:pPr>
            <w:r>
              <w:rPr>
                <w:b/>
              </w:rPr>
              <w:t>16 NOVEM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56"/>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bookmarkStart w:id="0" w:name="_GoBack"/>
            <w:bookmarkEnd w:id="0"/>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12535F" w:rsidRPr="0012535F" w:rsidRDefault="00FC4BD6" w:rsidP="0012535F">
            <w:pPr>
              <w:spacing w:after="74" w:line="240" w:lineRule="auto"/>
              <w:ind w:left="10"/>
              <w:jc w:val="left"/>
            </w:pPr>
            <w:r w:rsidRPr="00FC4BD6">
              <w:rPr>
                <w:b/>
              </w:rPr>
              <w:t>VENUE:</w:t>
            </w:r>
            <w:r>
              <w:rPr>
                <w:b/>
              </w:rPr>
              <w:t xml:space="preserve"> </w:t>
            </w:r>
            <w:r w:rsidR="0012535F" w:rsidRPr="0012535F">
              <w:t>NHLS LAB, BOTSHABELO HOSPITAL, 165 STAND ST, BOTSHABELO BUSINESS CENTRE, BOTSHABELO  29°13'57.15"S; 26°42'55.60"E</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12535F" w:rsidRPr="0012535F">
              <w:t>09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12535F" w:rsidRPr="0012535F">
              <w:t>9</w:t>
            </w:r>
            <w:r w:rsidR="003601B7" w:rsidRPr="0012535F">
              <w:t xml:space="preserve">:30 </w:t>
            </w:r>
            <w:r w:rsidRPr="0012535F">
              <w:t>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12535F">
        <w:trPr>
          <w:trHeight w:val="7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3"/>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Default="00C41A79" w:rsidP="0012535F">
            <w:pPr>
              <w:spacing w:after="0" w:line="240" w:lineRule="auto"/>
              <w:ind w:left="2" w:firstLine="0"/>
              <w:jc w:val="left"/>
            </w:pPr>
            <w:r>
              <w:rPr>
                <w:b/>
              </w:rPr>
              <w:t xml:space="preserve">RFQ: </w:t>
            </w:r>
            <w:r w:rsidR="0012535F" w:rsidRPr="0012535F">
              <w:rPr>
                <w:b/>
              </w:rPr>
              <w:t>0647897</w:t>
            </w:r>
            <w:r w:rsidR="0012535F">
              <w:rPr>
                <w:b/>
              </w:rPr>
              <w:t xml:space="preserve"> </w:t>
            </w:r>
            <w:r w:rsidR="0012535F" w:rsidRPr="0012535F">
              <w:rPr>
                <w:b/>
              </w:rPr>
              <w:t>RENOVATIONS TO BOTSHABELO NHLS LABORATORY IN FREE STATE</w:t>
            </w: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12535F">
              <w:rPr>
                <w:rFonts w:ascii="Calibri" w:eastAsia="Calibri" w:hAnsi="Calibri" w:cs="Calibri"/>
                <w:sz w:val="22"/>
              </w:rPr>
              <w:t>HE QUOTE BOX ON THE 16 NOVEM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256CF7" w:rsidRPr="00256CF7">
        <w:rPr>
          <w:b/>
          <w:i/>
          <w:color w:val="FF0000"/>
        </w:rPr>
        <w:t>NHLS LAB, BOTSHABELO HOSPITAL, 165 STAND ST, BOTSHABELO BUSINESS CENTRE, BOTSHABELO  29°13'57.15"S; 26°42'55.60"E</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256CF7">
        <w:rPr>
          <w:b/>
          <w:i/>
          <w:color w:val="FF0000"/>
        </w:rPr>
        <w:t>09 NOVE</w:t>
      </w:r>
      <w:r w:rsidR="000437A6" w:rsidRPr="000437A6">
        <w:rPr>
          <w:b/>
          <w:i/>
          <w:color w:val="FF0000"/>
        </w:rPr>
        <w:t>MBER 2018</w:t>
      </w:r>
      <w:r>
        <w:rPr>
          <w:b/>
          <w:i/>
          <w:color w:val="FF0000"/>
        </w:rPr>
        <w:t>]</w:t>
      </w:r>
      <w:r>
        <w:rPr>
          <w:b/>
        </w:rPr>
        <w:t xml:space="preserve">, </w:t>
      </w:r>
      <w:r>
        <w:t xml:space="preserve">at </w:t>
      </w:r>
      <w:r>
        <w:rPr>
          <w:b/>
          <w:i/>
          <w:color w:val="FF0000"/>
        </w:rPr>
        <w:t>[</w:t>
      </w:r>
      <w:r w:rsidR="00256CF7">
        <w:rPr>
          <w:b/>
          <w:i/>
          <w:color w:val="FF0000"/>
        </w:rPr>
        <w:t>9</w:t>
      </w:r>
      <w:r w:rsidR="000437A6">
        <w:rPr>
          <w:b/>
          <w:i/>
          <w:color w:val="FF0000"/>
        </w:rPr>
        <w:t>:30AM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12535F" w:rsidRPr="00256CF7" w:rsidRDefault="0012535F" w:rsidP="0012535F">
      <w:pPr>
        <w:spacing w:after="0" w:line="360" w:lineRule="auto"/>
        <w:ind w:left="0" w:firstLine="0"/>
        <w:jc w:val="left"/>
        <w:rPr>
          <w:rFonts w:ascii="Arial Unicode MS" w:eastAsia="Arial Unicode MS" w:hAnsi="Arial Unicode MS" w:cs="Arial Unicode MS"/>
          <w:color w:val="auto"/>
          <w:sz w:val="24"/>
          <w:u w:val="single"/>
        </w:rPr>
      </w:pPr>
      <w:r w:rsidRPr="00256CF7">
        <w:rPr>
          <w:rFonts w:ascii="Arial Unicode MS" w:eastAsia="Arial Unicode MS" w:hAnsi="Arial Unicode MS" w:cs="Arial Unicode MS"/>
          <w:color w:val="auto"/>
          <w:sz w:val="24"/>
        </w:rPr>
        <w:lastRenderedPageBreak/>
        <w:t xml:space="preserve"> </w:t>
      </w:r>
      <w:r w:rsidRPr="00256CF7">
        <w:rPr>
          <w:rFonts w:ascii="Arial Unicode MS" w:eastAsia="Arial Unicode MS" w:hAnsi="Arial Unicode MS" w:cs="Arial Unicode MS"/>
          <w:color w:val="auto"/>
          <w:sz w:val="24"/>
          <w:u w:val="single"/>
        </w:rPr>
        <w:t>FORM OF QUOTATION</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u w:val="single"/>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SUPPLIER: </w:t>
      </w:r>
      <w:r w:rsidRPr="0012535F">
        <w:rPr>
          <w:rFonts w:ascii="Arial Unicode MS" w:eastAsia="Arial Unicode MS" w:hAnsi="Arial Unicode MS" w:cs="Arial Unicode MS"/>
          <w:color w:val="auto"/>
          <w:sz w:val="24"/>
          <w:u w:val="single"/>
        </w:rPr>
        <w:t xml:space="preserve"> </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QUOTATION NO: </w:t>
      </w:r>
    </w:p>
    <w:p w:rsidR="0012535F" w:rsidRPr="0012535F" w:rsidRDefault="0012535F" w:rsidP="0012535F">
      <w:pPr>
        <w:spacing w:after="0" w:line="240" w:lineRule="auto"/>
        <w:ind w:left="2880" w:hanging="288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DESCRIPTION: RENOVATIONS TO BOTSHABELO NHLS LABORATORY IN FREE STATE</w:t>
      </w:r>
    </w:p>
    <w:p w:rsidR="0012535F" w:rsidRPr="0012535F" w:rsidRDefault="0012535F" w:rsidP="0012535F">
      <w:pPr>
        <w:spacing w:after="0" w:line="240" w:lineRule="auto"/>
        <w:ind w:left="2880" w:hanging="2880"/>
        <w:jc w:val="left"/>
        <w:rPr>
          <w:rFonts w:ascii="Arial Unicode MS" w:eastAsia="Arial Unicode MS" w:hAnsi="Arial Unicode MS" w:cs="Arial Unicode MS"/>
          <w:color w:val="auto"/>
          <w:sz w:val="24"/>
        </w:rPr>
      </w:pPr>
    </w:p>
    <w:p w:rsidR="0012535F" w:rsidRPr="0012535F" w:rsidRDefault="0012535F" w:rsidP="0012535F">
      <w:pPr>
        <w:tabs>
          <w:tab w:val="left" w:pos="1020"/>
        </w:tabs>
        <w:spacing w:after="0" w:line="240" w:lineRule="auto"/>
        <w:ind w:left="0" w:firstLine="0"/>
        <w:jc w:val="left"/>
        <w:rPr>
          <w:rFonts w:ascii="Arial Unicode MS" w:eastAsia="Arial Unicode MS" w:hAnsi="Arial Unicode MS" w:cs="Arial Unicode MS"/>
          <w:color w:val="auto"/>
          <w:sz w:val="24"/>
        </w:rPr>
      </w:pPr>
    </w:p>
    <w:tbl>
      <w:tblPr>
        <w:tblW w:w="0" w:type="auto"/>
        <w:tblInd w:w="108" w:type="dxa"/>
        <w:tblCellMar>
          <w:left w:w="10" w:type="dxa"/>
          <w:right w:w="10" w:type="dxa"/>
        </w:tblCellMar>
        <w:tblLook w:val="04A0" w:firstRow="1" w:lastRow="0" w:firstColumn="1" w:lastColumn="0" w:noHBand="0" w:noVBand="1"/>
      </w:tblPr>
      <w:tblGrid>
        <w:gridCol w:w="619"/>
        <w:gridCol w:w="5891"/>
        <w:gridCol w:w="715"/>
        <w:gridCol w:w="918"/>
        <w:gridCol w:w="1504"/>
        <w:gridCol w:w="1856"/>
      </w:tblGrid>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no</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Description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unit</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quantity</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rates</w:t>
            </w: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b/>
                <w:color w:val="auto"/>
              </w:rPr>
              <w:t>Cost excl vat</w:t>
            </w: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1</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Remove the existing vinyl and cart away,  Prepare floor to smooth finish self-leveling, supply and install 2</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Eclipse Purr vinyl sheeting with welded joints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r w:rsidRPr="0012535F">
              <w:rPr>
                <w:rFonts w:ascii="Myanmar Text" w:eastAsia="Myanmar Text" w:hAnsi="Myanmar Text" w:cs="Myanmar Text"/>
                <w:color w:val="auto"/>
                <w:vertAlign w:val="superscript"/>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188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2</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fit Cove Fillet against walls and cover with flooring material, also fit ribbing vinyl cover on top of skirting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m</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148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3</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install steel power coated square tubing frames  700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wide x 850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on sitting height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15</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4</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install 32</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x900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wide long Formica post form top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15</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5</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install steel power coated square tubing frames  800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wide x 1100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on standing height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6</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install 32</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x1200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wide long Formica post form top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7</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fit 15 amp standard power pole with network and 6 plug points, wire from distribution board to prevent overloading including circuit breakers and wiring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8</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deliver steel  powder coated powder coated under bench cupboards 650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high x 750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x500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deep with doors and shelves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9</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deliver steel powder coated under bench cupboards 650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high x 450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x500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deep to the frames with drawers and lockable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10</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and deliver steel  powder coated powder coated wall  cupboards 800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high x 650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x450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deep with doors and shelves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11</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Prepare and paint walls with plascon Velvaglo por similar white 2 coats as per specifications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r w:rsidRPr="0012535F">
              <w:rPr>
                <w:rFonts w:ascii="Myanmar Text" w:eastAsia="Myanmar Text" w:hAnsi="Myanmar Text" w:cs="Myanmar Text"/>
                <w:color w:val="auto"/>
                <w:vertAlign w:val="superscript"/>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388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12</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Prepare and paint ceiling with Plascon Velvaglo or similar white 2 coats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m</w:t>
            </w:r>
            <w:r w:rsidRPr="0012535F">
              <w:rPr>
                <w:rFonts w:ascii="Myanmar Text" w:eastAsia="Myanmar Text" w:hAnsi="Myanmar Text" w:cs="Myanmar Text"/>
                <w:color w:val="auto"/>
                <w:vertAlign w:val="superscript"/>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188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lastRenderedPageBreak/>
              <w:t>13</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rPr>
              <w:t>Prepare and paint steel window 2 enamel coats to match the existing colour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9</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14</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rPr>
              <w:t>Prepare and paint single doors 2 enamel coats to match the existing colour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Myanmar Text" w:eastAsia="Myanmar Text" w:hAnsi="Myanmar Text" w:cs="Myanmar Text"/>
                <w:color w:val="auto"/>
              </w:rPr>
              <w:t>15</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rPr>
              <w:t>Prepare and paint double window 2 white enamel coats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Myanmar Text" w:eastAsia="Myanmar Text" w:hAnsi="Myanmar Text" w:cs="Myanmar Text"/>
                <w:color w:val="auto"/>
              </w:rPr>
              <w:t>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16</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 xml:space="preserve">Supply and fit aluminum lab coat holder sets of three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3</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17</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Remove the existing lights fitting , Supply and install 1200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x 600</w:t>
            </w:r>
            <w:r w:rsidRPr="0012535F">
              <w:rPr>
                <w:rFonts w:ascii="Arial Unicode MS" w:eastAsia="Arial Unicode MS" w:hAnsi="Arial Unicode MS" w:cs="Arial Unicode MS"/>
                <w:color w:val="auto"/>
                <w:vertAlign w:val="superscript"/>
              </w:rPr>
              <w:t>mm</w:t>
            </w:r>
            <w:r w:rsidRPr="0012535F">
              <w:rPr>
                <w:rFonts w:ascii="Arial Unicode MS" w:eastAsia="Arial Unicode MS" w:hAnsi="Arial Unicode MS" w:cs="Arial Unicode MS"/>
                <w:color w:val="auto"/>
              </w:rPr>
              <w:t xml:space="preserve"> x 3 energy server tube light fittings with chrome reflectors, allow for wiring, 5amp plug point at each light fitting, with single lever light switch as per specification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Rate only</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Supply Electrical certificate of compliance on completion (COC</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item</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Allow the amount of R 40 000-00 (forty Thousand Rand) for contingency to be used at the discretion of the Principal Agent and deducted in whole or in part if not required</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R40,000.00</w:t>
            </w: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Preliminaries and General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TOTAL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PLUS 15% VAT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GRAND TOTAL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r w:rsidR="0012535F" w:rsidRPr="0012535F" w:rsidTr="0012535F">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Theme="minorHAnsi" w:eastAsiaTheme="minorEastAsia" w:hAnsiTheme="minorHAnsi" w:cstheme="minorBidi"/>
                <w:color w:val="auto"/>
                <w:sz w:val="22"/>
              </w:rPr>
            </w:pPr>
            <w:r w:rsidRPr="0012535F">
              <w:rPr>
                <w:rFonts w:ascii="Arial Unicode MS" w:eastAsia="Arial Unicode MS" w:hAnsi="Arial Unicode MS" w:cs="Arial Unicode MS"/>
                <w:color w:val="auto"/>
              </w:rPr>
              <w:t>Estimated time to complete work above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center"/>
              <w:rPr>
                <w:rFonts w:ascii="Calibri" w:eastAsia="Calibri" w:hAnsi="Calibri" w:cs="Calibri"/>
                <w:color w:val="auto"/>
                <w:sz w:val="22"/>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5F" w:rsidRPr="0012535F" w:rsidRDefault="0012535F" w:rsidP="0012535F">
            <w:pPr>
              <w:spacing w:after="0" w:line="240" w:lineRule="auto"/>
              <w:ind w:left="0" w:firstLine="0"/>
              <w:jc w:val="left"/>
              <w:rPr>
                <w:rFonts w:ascii="Calibri" w:eastAsia="Calibri" w:hAnsi="Calibri" w:cs="Calibri"/>
                <w:color w:val="auto"/>
                <w:sz w:val="22"/>
              </w:rPr>
            </w:pPr>
          </w:p>
        </w:tc>
      </w:tr>
    </w:tbl>
    <w:p w:rsidR="0012535F" w:rsidRPr="0012535F" w:rsidRDefault="0012535F" w:rsidP="0012535F">
      <w:pPr>
        <w:spacing w:after="0" w:line="240" w:lineRule="auto"/>
        <w:ind w:left="0" w:firstLine="0"/>
        <w:jc w:val="left"/>
        <w:rPr>
          <w:rFonts w:ascii="Arial Unicode MS" w:eastAsia="Arial Unicode MS" w:hAnsi="Arial Unicode MS" w:cs="Arial Unicode MS"/>
          <w:b/>
          <w:color w:val="auto"/>
          <w:sz w:val="24"/>
          <w:u w:val="single"/>
        </w:rPr>
      </w:pPr>
      <w:r w:rsidRPr="0012535F">
        <w:rPr>
          <w:rFonts w:ascii="Arial Unicode MS" w:eastAsia="Arial Unicode MS" w:hAnsi="Arial Unicode MS" w:cs="Arial Unicode MS"/>
          <w:b/>
          <w:color w:val="auto"/>
          <w:sz w:val="24"/>
          <w:u w:val="single"/>
        </w:rPr>
        <w:t xml:space="preserve">                                                             </w:t>
      </w:r>
    </w:p>
    <w:p w:rsidR="0012535F" w:rsidRPr="0012535F" w:rsidRDefault="0012535F" w:rsidP="0012535F">
      <w:pPr>
        <w:spacing w:after="0" w:line="240" w:lineRule="auto"/>
        <w:ind w:left="0" w:firstLine="0"/>
        <w:jc w:val="left"/>
        <w:rPr>
          <w:rFonts w:ascii="Arial Unicode MS" w:eastAsia="Arial Unicode MS" w:hAnsi="Arial Unicode MS" w:cs="Arial Unicode MS"/>
          <w:color w:val="FF0000"/>
          <w:sz w:val="24"/>
        </w:rPr>
      </w:pPr>
      <w:r w:rsidRPr="0012535F">
        <w:rPr>
          <w:rFonts w:ascii="Arial Unicode MS" w:eastAsia="Arial Unicode MS" w:hAnsi="Arial Unicode MS" w:cs="Arial Unicode MS"/>
          <w:b/>
          <w:color w:val="auto"/>
          <w:sz w:val="24"/>
        </w:rPr>
        <w:t xml:space="preserve">                                                             </w:t>
      </w:r>
      <w:r>
        <w:rPr>
          <w:rFonts w:ascii="Arial Unicode MS" w:eastAsia="Arial Unicode MS" w:hAnsi="Arial Unicode MS" w:cs="Arial Unicode MS"/>
          <w:b/>
          <w:color w:val="auto"/>
          <w:sz w:val="24"/>
        </w:rPr>
        <w:t xml:space="preserve">               </w:t>
      </w:r>
      <w:r w:rsidRPr="0012535F">
        <w:rPr>
          <w:rFonts w:ascii="Arial Unicode MS" w:eastAsia="Arial Unicode MS" w:hAnsi="Arial Unicode MS" w:cs="Arial Unicode MS"/>
          <w:color w:val="FF0000"/>
          <w:sz w:val="24"/>
        </w:rPr>
        <w:t>NOTE:</w:t>
      </w:r>
    </w:p>
    <w:p w:rsidR="0012535F" w:rsidRPr="0012535F" w:rsidRDefault="0012535F" w:rsidP="0012535F">
      <w:pPr>
        <w:spacing w:after="0" w:line="240" w:lineRule="auto"/>
        <w:ind w:left="0" w:firstLine="0"/>
        <w:jc w:val="center"/>
        <w:rPr>
          <w:rFonts w:ascii="Arial Unicode MS" w:eastAsia="Arial Unicode MS" w:hAnsi="Arial Unicode MS" w:cs="Arial Unicode MS"/>
          <w:b/>
          <w:color w:val="FF0000"/>
          <w:sz w:val="24"/>
        </w:rPr>
      </w:pPr>
      <w:r>
        <w:rPr>
          <w:rFonts w:ascii="Arial Unicode MS" w:eastAsia="Arial Unicode MS" w:hAnsi="Arial Unicode MS" w:cs="Arial Unicode MS"/>
          <w:color w:val="FF0000"/>
          <w:sz w:val="24"/>
        </w:rPr>
        <w:t xml:space="preserve">   </w:t>
      </w:r>
      <w:r w:rsidRPr="0012535F">
        <w:rPr>
          <w:rFonts w:ascii="Arial Unicode MS" w:eastAsia="Arial Unicode MS" w:hAnsi="Arial Unicode MS" w:cs="Arial Unicode MS"/>
          <w:color w:val="FF0000"/>
          <w:sz w:val="24"/>
        </w:rPr>
        <w:t>“Provide details and registration confirmation with CIDB in terms of the CIDB Act 38 of 2000. Provide proof of grading level 2GB</w:t>
      </w: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12535F" w:rsidRDefault="0012535F">
      <w:pPr>
        <w:spacing w:after="0" w:line="261" w:lineRule="auto"/>
        <w:ind w:left="1572" w:right="5496" w:firstLine="0"/>
        <w:jc w:val="left"/>
        <w:rPr>
          <w:b/>
          <w:color w:val="FF0000"/>
          <w:u w:val="single" w:color="FF0000"/>
        </w:rPr>
      </w:pPr>
    </w:p>
    <w:p w:rsidR="00256CF7" w:rsidRDefault="00256CF7">
      <w:pPr>
        <w:spacing w:after="0" w:line="261" w:lineRule="auto"/>
        <w:ind w:left="1572" w:right="5496" w:firstLine="0"/>
        <w:jc w:val="left"/>
        <w:rPr>
          <w:b/>
          <w:color w:val="FF0000"/>
          <w:u w:val="single" w:color="FF0000"/>
        </w:rPr>
      </w:pPr>
    </w:p>
    <w:p w:rsidR="00256CF7" w:rsidRDefault="00256CF7">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lastRenderedPageBreak/>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lastRenderedPageBreak/>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lastRenderedPageBreak/>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lastRenderedPageBreak/>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lastRenderedPageBreak/>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0437A6" w:rsidRDefault="007116C8" w:rsidP="007116C8">
      <w:pPr>
        <w:pStyle w:val="Heading2"/>
        <w:ind w:left="0" w:right="39" w:firstLine="0"/>
        <w:rPr>
          <w:b w:val="0"/>
          <w:u w:val="none"/>
        </w:rPr>
      </w:pPr>
      <w:r>
        <w:rPr>
          <w:b w:val="0"/>
          <w:u w:val="none"/>
        </w:rPr>
        <w:t xml:space="preserve">         </w:t>
      </w:r>
    </w:p>
    <w:p w:rsidR="000437A6" w:rsidRDefault="000437A6" w:rsidP="007116C8">
      <w:pPr>
        <w:pStyle w:val="Heading2"/>
        <w:ind w:left="0" w:right="39" w:firstLine="0"/>
        <w:rPr>
          <w:b w:val="0"/>
          <w:u w:val="none"/>
        </w:rPr>
      </w:pPr>
    </w:p>
    <w:p w:rsidR="000437A6" w:rsidRDefault="000437A6" w:rsidP="007116C8">
      <w:pPr>
        <w:pStyle w:val="Heading2"/>
        <w:ind w:left="0" w:right="39" w:firstLine="0"/>
        <w:rPr>
          <w:b w:val="0"/>
          <w:u w:val="none"/>
        </w:rPr>
      </w:pPr>
    </w:p>
    <w:p w:rsidR="000437A6" w:rsidRPr="000437A6" w:rsidRDefault="000437A6" w:rsidP="000437A6"/>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lastRenderedPageBreak/>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lastRenderedPageBreak/>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lastRenderedPageBreak/>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lastRenderedPageBreak/>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lastRenderedPageBreak/>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lastRenderedPageBreak/>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12535F">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lastRenderedPageBreak/>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lastRenderedPageBreak/>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lastRenderedPageBreak/>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35F" w:rsidRDefault="0012535F" w:rsidP="007116C8">
                            <w:pPr>
                              <w:spacing w:line="360" w:lineRule="auto"/>
                              <w:jc w:val="right"/>
                              <w:rPr>
                                <w:rFonts w:ascii="Arial" w:hAnsi="Arial" w:cs="Arial"/>
                              </w:rPr>
                            </w:pPr>
                          </w:p>
                          <w:p w:rsidR="0012535F" w:rsidRPr="00AD7FF3" w:rsidRDefault="0012535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12535F" w:rsidRPr="00AD7FF3" w:rsidRDefault="0012535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2535F" w:rsidRDefault="0012535F"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2535F" w:rsidRPr="00AD7FF3" w:rsidRDefault="0012535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12535F" w:rsidRDefault="0012535F" w:rsidP="007116C8">
                      <w:pPr>
                        <w:spacing w:line="360" w:lineRule="auto"/>
                        <w:jc w:val="right"/>
                        <w:rPr>
                          <w:rFonts w:ascii="Arial" w:hAnsi="Arial" w:cs="Arial"/>
                        </w:rPr>
                      </w:pPr>
                    </w:p>
                    <w:p w:rsidR="0012535F" w:rsidRPr="00AD7FF3" w:rsidRDefault="0012535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12535F" w:rsidRPr="00AD7FF3" w:rsidRDefault="0012535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2535F" w:rsidRDefault="0012535F"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2535F" w:rsidRPr="00AD7FF3" w:rsidRDefault="0012535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DD" w:rsidRDefault="00612CDD">
      <w:pPr>
        <w:spacing w:after="0" w:line="240" w:lineRule="auto"/>
      </w:pPr>
      <w:r>
        <w:separator/>
      </w:r>
    </w:p>
  </w:endnote>
  <w:endnote w:type="continuationSeparator" w:id="0">
    <w:p w:rsidR="00612CDD" w:rsidRDefault="0061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2535F" w:rsidRDefault="0012535F">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78" w:line="259" w:lineRule="auto"/>
      <w:ind w:left="852" w:firstLine="0"/>
      <w:jc w:val="left"/>
    </w:pPr>
    <w:r>
      <w:fldChar w:fldCharType="begin"/>
    </w:r>
    <w:r>
      <w:instrText xml:space="preserve"> PAGE   \* MERGEFORMAT </w:instrText>
    </w:r>
    <w:r>
      <w:fldChar w:fldCharType="separate"/>
    </w:r>
    <w:r w:rsidR="009E185F" w:rsidRPr="009E185F">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2535F" w:rsidRDefault="0012535F">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2535F" w:rsidRDefault="0012535F">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71" w:line="259" w:lineRule="auto"/>
      <w:ind w:left="19" w:firstLine="0"/>
      <w:jc w:val="left"/>
    </w:pPr>
    <w:r>
      <w:fldChar w:fldCharType="begin"/>
    </w:r>
    <w:r>
      <w:instrText xml:space="preserve"> PAGE   \* MERGEFORMAT </w:instrText>
    </w:r>
    <w:r>
      <w:fldChar w:fldCharType="separate"/>
    </w:r>
    <w:r w:rsidR="0006041F" w:rsidRPr="0006041F">
      <w:rPr>
        <w:rFonts w:ascii="Calibri" w:eastAsia="Calibri" w:hAnsi="Calibri" w:cs="Calibri"/>
        <w:noProof/>
        <w:sz w:val="22"/>
      </w:rPr>
      <w:t>44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2535F" w:rsidRDefault="0012535F">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5F" w:rsidRDefault="0012535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2535F" w:rsidRDefault="0012535F">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DD" w:rsidRDefault="00612CDD">
      <w:pPr>
        <w:spacing w:after="0" w:line="240" w:lineRule="auto"/>
      </w:pPr>
      <w:r>
        <w:separator/>
      </w:r>
    </w:p>
  </w:footnote>
  <w:footnote w:type="continuationSeparator" w:id="0">
    <w:p w:rsidR="00612CDD" w:rsidRDefault="00612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B4D6C"/>
    <w:rsid w:val="0012535F"/>
    <w:rsid w:val="00256CF7"/>
    <w:rsid w:val="003601B7"/>
    <w:rsid w:val="00536BC9"/>
    <w:rsid w:val="005B4977"/>
    <w:rsid w:val="005D4B59"/>
    <w:rsid w:val="005D55F5"/>
    <w:rsid w:val="005F07FA"/>
    <w:rsid w:val="00612CDD"/>
    <w:rsid w:val="006D15AE"/>
    <w:rsid w:val="007116C8"/>
    <w:rsid w:val="009D42EC"/>
    <w:rsid w:val="009E185F"/>
    <w:rsid w:val="00A10106"/>
    <w:rsid w:val="00C41A79"/>
    <w:rsid w:val="00CC3D39"/>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CDD73"/>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EFB0-F56F-48FB-89E0-42DDD7AD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18596</Words>
  <Characters>106000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2018-10-30T11:53:00Z</dcterms:created>
  <dcterms:modified xsi:type="dcterms:W3CDTF">2018-10-30T11:53:00Z</dcterms:modified>
</cp:coreProperties>
</file>