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A26755" w:rsidRPr="00EA748D" w:rsidRDefault="000564E1" w:rsidP="00EE2CA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1407386</w:t>
            </w:r>
            <w:bookmarkStart w:id="0" w:name="_GoBack"/>
            <w:bookmarkEnd w:id="0"/>
            <w:r w:rsidR="00C40FA3">
              <w:rPr>
                <w:rFonts w:ascii="Arial" w:hAnsi="Arial" w:cs="Arial"/>
                <w:b/>
                <w:sz w:val="20"/>
                <w:szCs w:val="20"/>
                <w:lang w:val="en-GB"/>
              </w:rPr>
              <w:t>/17-18</w:t>
            </w:r>
            <w:r w:rsidR="00D70916">
              <w:rPr>
                <w:rFonts w:ascii="Arial" w:hAnsi="Arial" w:cs="Arial"/>
                <w:b/>
                <w:sz w:val="20"/>
                <w:szCs w:val="20"/>
                <w:lang w:val="en-GB"/>
              </w:rPr>
              <w:t xml:space="preserve"> </w:t>
            </w: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29451D" w:rsidP="00D7696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27</w:t>
            </w:r>
            <w:r w:rsidR="00D76962">
              <w:rPr>
                <w:rFonts w:ascii="Arial" w:hAnsi="Arial" w:cs="Arial"/>
                <w:b/>
                <w:color w:val="000000"/>
                <w:sz w:val="20"/>
                <w:szCs w:val="20"/>
                <w:lang w:val="en-GB"/>
              </w:rPr>
              <w:t xml:space="preserve"> MARCH</w:t>
            </w:r>
            <w:r w:rsidR="00084240">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EA748D">
              <w:rPr>
                <w:rFonts w:ascii="Arial" w:hAnsi="Arial" w:cs="Arial"/>
                <w:b/>
                <w:sz w:val="20"/>
                <w:szCs w:val="20"/>
              </w:rPr>
              <w:t xml:space="preserve">30 days </w:t>
            </w:r>
            <w:bookmarkEnd w:id="1"/>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A26755"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8B5E42" w:rsidRPr="00EA748D" w:rsidRDefault="00603A89" w:rsidP="008B5E4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RENDERING OF </w:t>
            </w:r>
            <w:r w:rsidR="0029451D">
              <w:rPr>
                <w:rFonts w:ascii="Arial" w:hAnsi="Arial" w:cs="Arial"/>
                <w:b/>
                <w:sz w:val="20"/>
                <w:szCs w:val="20"/>
                <w:lang w:val="en-GB"/>
              </w:rPr>
              <w:t>SPECIALIST INFORMATICA POWERCENTER SERVICES FOR NICD FOR A PERIOD OF 6 MONTHS</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603A8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4A4134">
              <w:rPr>
                <w:rFonts w:ascii="Arial" w:hAnsi="Arial" w:cs="Arial"/>
                <w:b/>
                <w:color w:val="FF0000"/>
                <w:sz w:val="20"/>
                <w:szCs w:val="20"/>
                <w:lang w:val="en-GB"/>
              </w:rPr>
              <w:t>01 MODDERFONTEIN ROAD,SANDRINGHAM,AT NICD STO</w:t>
            </w:r>
            <w:r w:rsidR="008B5E42" w:rsidRPr="004A4134">
              <w:rPr>
                <w:rFonts w:ascii="Arial" w:hAnsi="Arial" w:cs="Arial"/>
                <w:b/>
                <w:color w:val="FF0000"/>
                <w:sz w:val="20"/>
                <w:szCs w:val="20"/>
                <w:lang w:val="en-GB"/>
              </w:rPr>
              <w:t xml:space="preserve">RES THE QUOTE BOX ON THE </w:t>
            </w:r>
            <w:r w:rsidR="0029451D">
              <w:rPr>
                <w:rFonts w:ascii="Arial" w:hAnsi="Arial" w:cs="Arial"/>
                <w:b/>
                <w:color w:val="FF0000"/>
                <w:sz w:val="20"/>
                <w:szCs w:val="20"/>
                <w:lang w:val="en-GB"/>
              </w:rPr>
              <w:t>27</w:t>
            </w:r>
            <w:r w:rsidR="00EF57BB">
              <w:rPr>
                <w:rFonts w:ascii="Arial" w:hAnsi="Arial" w:cs="Arial"/>
                <w:b/>
                <w:color w:val="FF0000"/>
                <w:sz w:val="20"/>
                <w:szCs w:val="20"/>
                <w:lang w:val="en-GB"/>
              </w:rPr>
              <w:t xml:space="preserve"> MARCH</w:t>
            </w:r>
            <w:r w:rsidR="00084240" w:rsidRPr="004A4134">
              <w:rPr>
                <w:rFonts w:ascii="Arial" w:hAnsi="Arial" w:cs="Arial"/>
                <w:b/>
                <w:color w:val="FF0000"/>
                <w:sz w:val="20"/>
                <w:szCs w:val="20"/>
                <w:lang w:val="en-GB"/>
              </w:rPr>
              <w:t xml:space="preserve"> 2018</w:t>
            </w:r>
            <w:r w:rsidR="00EF57BB">
              <w:rPr>
                <w:rFonts w:ascii="Arial" w:hAnsi="Arial" w:cs="Arial"/>
                <w:b/>
                <w:color w:val="FF0000"/>
                <w:sz w:val="20"/>
                <w:szCs w:val="20"/>
                <w:lang w:val="en-GB"/>
              </w:rPr>
              <w:t xml:space="preserve"> (NB: QUOTES THAT ARE DROPPED OFF AT THE NHLS QUOTE/TENDER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EF57BB">
        <w:rPr>
          <w:rFonts w:ascii="Arial" w:hAnsi="Arial" w:cs="Arial"/>
          <w:b/>
          <w:sz w:val="20"/>
          <w:szCs w:val="20"/>
          <w:lang w:val="en-GB"/>
        </w:rPr>
        <w:t>nicdprocurement</w:t>
      </w:r>
      <w:r w:rsidRPr="00EA748D">
        <w:rPr>
          <w:rFonts w:ascii="Arial" w:hAnsi="Arial" w:cs="Arial"/>
          <w:b/>
          <w:sz w:val="20"/>
          <w:szCs w:val="20"/>
          <w:lang w:val="en-GB"/>
        </w:rPr>
        <w:t>@nicd.ac.za</w:t>
      </w:r>
    </w:p>
    <w:p w:rsidR="00A26755"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p w:rsidR="00FD4240" w:rsidRDefault="00FD4240"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FD4240" w:rsidRPr="00EA748D" w:rsidRDefault="00FD4240"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564E1">
                <w:rPr>
                  <w:webHidden/>
                </w:rPr>
                <w:t>5</w:t>
              </w:r>
              <w:r>
                <w:rPr>
                  <w:webHidden/>
                </w:rPr>
                <w:fldChar w:fldCharType="end"/>
              </w:r>
            </w:hyperlink>
          </w:p>
          <w:p w:rsidR="000B185D" w:rsidRDefault="004938E4">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564E1">
                <w:rPr>
                  <w:webHidden/>
                </w:rPr>
                <w:t>6</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564E1">
                <w:rPr>
                  <w:webHidden/>
                </w:rPr>
                <w:t>7</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564E1">
                <w:rPr>
                  <w:webHidden/>
                </w:rPr>
                <w:t>9</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564E1">
                <w:rPr>
                  <w:webHidden/>
                </w:rPr>
                <w:t>17</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564E1">
                <w:rPr>
                  <w:webHidden/>
                </w:rPr>
                <w:t>21</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fldChar w:fldCharType="separate"/>
              </w:r>
              <w:r w:rsidR="000564E1">
                <w:rPr>
                  <w:b w:val="0"/>
                  <w:bCs w:val="0"/>
                  <w:webHidden/>
                  <w:lang w:val="en-US"/>
                </w:rPr>
                <w:t>Error! Bookmark not defined.</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fldChar w:fldCharType="separate"/>
              </w:r>
              <w:r w:rsidR="000564E1">
                <w:rPr>
                  <w:b w:val="0"/>
                  <w:bCs w:val="0"/>
                  <w:webHidden/>
                  <w:lang w:val="en-US"/>
                </w:rPr>
                <w:t>Error! Bookmark not defined.</w:t>
              </w:r>
              <w:r w:rsidR="008E4803">
                <w:rPr>
                  <w:webHidden/>
                </w:rPr>
                <w:fldChar w:fldCharType="end"/>
              </w:r>
            </w:hyperlink>
          </w:p>
          <w:p w:rsidR="000B185D" w:rsidRDefault="004938E4">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564E1">
                <w:rPr>
                  <w:webHidden/>
                </w:rPr>
                <w:t>27</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6" w:name="Response"/>
      <w:bookmarkStart w:id="7" w:name="_Toc150587194"/>
      <w:bookmarkStart w:id="8" w:name="_Toc199296472"/>
      <w:bookmarkStart w:id="9"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6"/>
      <w:bookmarkEnd w:id="7"/>
      <w:bookmarkEnd w:id="8"/>
      <w:bookmarkEnd w:id="9"/>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29451D">
        <w:rPr>
          <w:rFonts w:ascii="Verdana" w:hAnsi="Verdana"/>
          <w:b/>
          <w:sz w:val="20"/>
          <w:szCs w:val="20"/>
        </w:rPr>
        <w:t xml:space="preserve"> for 1X resource for 200hrs</w:t>
      </w:r>
      <w:r w:rsidR="000D6A3E">
        <w:rPr>
          <w:rFonts w:ascii="Verdana" w:hAnsi="Verdana"/>
          <w:b/>
          <w:sz w:val="20"/>
          <w:szCs w:val="20"/>
        </w:rPr>
        <w:t xml:space="preserve"> INCL VAT</w:t>
      </w:r>
      <w:r w:rsidR="000A3644"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FD4240" w:rsidRDefault="008A244C" w:rsidP="00FD4240">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p w:rsidR="00D55843" w:rsidRPr="0029451D" w:rsidRDefault="0029451D" w:rsidP="0029451D">
      <w:pPr>
        <w:pStyle w:val="ListParagraph"/>
        <w:numPr>
          <w:ilvl w:val="0"/>
          <w:numId w:val="41"/>
        </w:numPr>
        <w:spacing w:after="120" w:line="360" w:lineRule="auto"/>
        <w:jc w:val="both"/>
        <w:rPr>
          <w:rFonts w:ascii="Verdana" w:eastAsia="Arial Unicode MS" w:hAnsi="Verdana" w:cs="Arial"/>
          <w:b/>
          <w:sz w:val="20"/>
          <w:szCs w:val="20"/>
        </w:rPr>
      </w:pPr>
      <w:r w:rsidRPr="0029451D">
        <w:rPr>
          <w:rFonts w:ascii="Verdana" w:eastAsia="Arial Unicode MS" w:hAnsi="Verdana" w:cs="Arial"/>
          <w:b/>
          <w:sz w:val="20"/>
          <w:szCs w:val="20"/>
        </w:rPr>
        <w:t>The engagement can be on a Time and Materials or fixed price basis</w:t>
      </w:r>
    </w:p>
    <w:tbl>
      <w:tblPr>
        <w:tblStyle w:val="TableGrid"/>
        <w:tblW w:w="0" w:type="auto"/>
        <w:tblInd w:w="357" w:type="dxa"/>
        <w:tblLook w:val="04A0" w:firstRow="1" w:lastRow="0" w:firstColumn="1" w:lastColumn="0" w:noHBand="0" w:noVBand="1"/>
      </w:tblPr>
      <w:tblGrid>
        <w:gridCol w:w="2031"/>
        <w:gridCol w:w="1838"/>
        <w:gridCol w:w="1384"/>
        <w:gridCol w:w="1309"/>
        <w:gridCol w:w="1563"/>
        <w:gridCol w:w="1563"/>
      </w:tblGrid>
      <w:tr w:rsidR="0029451D" w:rsidTr="0029451D">
        <w:tc>
          <w:tcPr>
            <w:tcW w:w="2031"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Description</w:t>
            </w:r>
          </w:p>
        </w:tc>
        <w:tc>
          <w:tcPr>
            <w:tcW w:w="1838"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Quantity</w:t>
            </w:r>
          </w:p>
        </w:tc>
        <w:tc>
          <w:tcPr>
            <w:tcW w:w="1384"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Hourly Rate Excl Vat</w:t>
            </w:r>
          </w:p>
        </w:tc>
        <w:tc>
          <w:tcPr>
            <w:tcW w:w="1309"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Hourly Rate Incl Vat</w:t>
            </w:r>
          </w:p>
        </w:tc>
        <w:tc>
          <w:tcPr>
            <w:tcW w:w="1563"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Total of 200 hrs excl vat</w:t>
            </w:r>
          </w:p>
        </w:tc>
        <w:tc>
          <w:tcPr>
            <w:tcW w:w="1563"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Total of 200 hrs incl vat vat</w:t>
            </w:r>
          </w:p>
        </w:tc>
      </w:tr>
      <w:tr w:rsidR="0029451D" w:rsidTr="0029451D">
        <w:tc>
          <w:tcPr>
            <w:tcW w:w="2031" w:type="dxa"/>
          </w:tcPr>
          <w:p w:rsidR="0029451D" w:rsidRDefault="0029451D" w:rsidP="0029451D">
            <w:pPr>
              <w:rPr>
                <w:rFonts w:ascii="Arial" w:eastAsia="Times" w:hAnsi="Arial" w:cs="Arial"/>
                <w:noProof/>
                <w:color w:val="333333"/>
                <w:sz w:val="22"/>
                <w:szCs w:val="22"/>
              </w:rPr>
            </w:pPr>
          </w:p>
          <w:p w:rsidR="0029451D" w:rsidRDefault="0029451D" w:rsidP="0029451D">
            <w:pPr>
              <w:rPr>
                <w:rFonts w:ascii="Arial" w:eastAsia="Times" w:hAnsi="Arial" w:cs="Arial"/>
                <w:noProof/>
                <w:color w:val="333333"/>
                <w:sz w:val="22"/>
                <w:szCs w:val="22"/>
              </w:rPr>
            </w:pPr>
            <w:r>
              <w:rPr>
                <w:rFonts w:ascii="Arial" w:eastAsia="Times" w:hAnsi="Arial" w:cs="Arial"/>
                <w:noProof/>
                <w:color w:val="333333"/>
                <w:sz w:val="22"/>
                <w:szCs w:val="22"/>
              </w:rPr>
              <w:t>1X RESOURCE</w:t>
            </w:r>
          </w:p>
        </w:tc>
        <w:tc>
          <w:tcPr>
            <w:tcW w:w="1838" w:type="dxa"/>
          </w:tcPr>
          <w:p w:rsidR="0029451D" w:rsidRDefault="0029451D" w:rsidP="0029451D">
            <w:pPr>
              <w:rPr>
                <w:rFonts w:ascii="Arial" w:eastAsia="Times" w:hAnsi="Arial" w:cs="Arial"/>
                <w:noProof/>
                <w:color w:val="333333"/>
                <w:sz w:val="22"/>
                <w:szCs w:val="22"/>
              </w:rPr>
            </w:pPr>
          </w:p>
          <w:p w:rsidR="0029451D" w:rsidRDefault="0029451D" w:rsidP="0029451D">
            <w:pPr>
              <w:rPr>
                <w:rFonts w:ascii="Arial" w:eastAsia="Times" w:hAnsi="Arial" w:cs="Arial"/>
                <w:noProof/>
                <w:color w:val="333333"/>
                <w:sz w:val="22"/>
                <w:szCs w:val="22"/>
              </w:rPr>
            </w:pPr>
            <w:r>
              <w:rPr>
                <w:rFonts w:ascii="Arial" w:eastAsia="Times" w:hAnsi="Arial" w:cs="Arial"/>
                <w:noProof/>
                <w:color w:val="333333"/>
                <w:sz w:val="22"/>
                <w:szCs w:val="22"/>
              </w:rPr>
              <w:t>200HRS</w:t>
            </w:r>
          </w:p>
        </w:tc>
        <w:tc>
          <w:tcPr>
            <w:tcW w:w="1384" w:type="dxa"/>
          </w:tcPr>
          <w:p w:rsidR="0029451D" w:rsidRDefault="0029451D" w:rsidP="0029451D">
            <w:pPr>
              <w:rPr>
                <w:rFonts w:ascii="Arial" w:eastAsia="Times" w:hAnsi="Arial" w:cs="Arial"/>
                <w:noProof/>
                <w:color w:val="333333"/>
                <w:sz w:val="22"/>
                <w:szCs w:val="22"/>
              </w:rPr>
            </w:pPr>
          </w:p>
        </w:tc>
        <w:tc>
          <w:tcPr>
            <w:tcW w:w="1309" w:type="dxa"/>
          </w:tcPr>
          <w:p w:rsidR="0029451D" w:rsidRDefault="0029451D" w:rsidP="0029451D">
            <w:pPr>
              <w:rPr>
                <w:rFonts w:ascii="Arial" w:eastAsia="Times" w:hAnsi="Arial" w:cs="Arial"/>
                <w:noProof/>
                <w:color w:val="333333"/>
                <w:sz w:val="22"/>
                <w:szCs w:val="22"/>
              </w:rPr>
            </w:pPr>
          </w:p>
        </w:tc>
        <w:tc>
          <w:tcPr>
            <w:tcW w:w="1563" w:type="dxa"/>
          </w:tcPr>
          <w:p w:rsidR="0029451D" w:rsidRDefault="0029451D" w:rsidP="0029451D">
            <w:pPr>
              <w:rPr>
                <w:rFonts w:ascii="Arial" w:eastAsia="Times" w:hAnsi="Arial" w:cs="Arial"/>
                <w:noProof/>
                <w:color w:val="333333"/>
                <w:sz w:val="22"/>
                <w:szCs w:val="22"/>
              </w:rPr>
            </w:pPr>
          </w:p>
        </w:tc>
        <w:tc>
          <w:tcPr>
            <w:tcW w:w="1563" w:type="dxa"/>
          </w:tcPr>
          <w:p w:rsidR="0029451D" w:rsidRDefault="0029451D" w:rsidP="0029451D">
            <w:pPr>
              <w:rPr>
                <w:rFonts w:ascii="Arial" w:eastAsia="Times" w:hAnsi="Arial" w:cs="Arial"/>
                <w:noProof/>
                <w:color w:val="333333"/>
                <w:sz w:val="22"/>
                <w:szCs w:val="22"/>
              </w:rPr>
            </w:pPr>
          </w:p>
        </w:tc>
      </w:tr>
    </w:tbl>
    <w:p w:rsidR="00FD4240" w:rsidRPr="00FD4240" w:rsidRDefault="00FD4240" w:rsidP="00FD4240">
      <w:pPr>
        <w:ind w:left="357"/>
        <w:rPr>
          <w:rFonts w:ascii="Arial" w:eastAsia="Times" w:hAnsi="Arial" w:cs="Arial"/>
          <w:noProof/>
          <w:color w:val="333333"/>
          <w:sz w:val="22"/>
          <w:szCs w:val="22"/>
        </w:rPr>
      </w:pPr>
    </w:p>
    <w:p w:rsidR="00FD4240" w:rsidRPr="00FD4240" w:rsidRDefault="00FD4240" w:rsidP="00FD4240">
      <w:pPr>
        <w:ind w:left="357"/>
        <w:rPr>
          <w:rFonts w:ascii="Arial" w:eastAsia="Times" w:hAnsi="Arial" w:cs="Arial"/>
          <w:noProof/>
          <w:color w:val="333333"/>
          <w:sz w:val="22"/>
          <w:szCs w:val="22"/>
        </w:rPr>
      </w:pPr>
    </w:p>
    <w:p w:rsidR="006553F0" w:rsidRPr="000D6A3E" w:rsidRDefault="006553F0" w:rsidP="00FD4240">
      <w:pPr>
        <w:spacing w:after="120" w:line="360" w:lineRule="auto"/>
        <w:ind w:left="567" w:hanging="422"/>
        <w:jc w:val="both"/>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29451D" w:rsidRPr="0029451D" w:rsidRDefault="0029451D" w:rsidP="0029451D">
      <w:pPr>
        <w:numPr>
          <w:ilvl w:val="0"/>
          <w:numId w:val="36"/>
        </w:numPr>
        <w:spacing w:line="276" w:lineRule="auto"/>
        <w:jc w:val="both"/>
        <w:rPr>
          <w:rFonts w:ascii="Arial" w:eastAsia="Times" w:hAnsi="Arial" w:cs="Arial"/>
          <w:b/>
          <w:color w:val="4C4C4C"/>
          <w:lang w:val="en-GB"/>
        </w:rPr>
      </w:pPr>
      <w:r w:rsidRPr="0029451D">
        <w:rPr>
          <w:rFonts w:ascii="Arial" w:eastAsia="Times" w:hAnsi="Arial" w:cs="Arial"/>
          <w:b/>
          <w:color w:val="4C4C4C"/>
          <w:lang w:val="en-GB"/>
        </w:rPr>
        <w:t>BACKGROUND</w:t>
      </w:r>
    </w:p>
    <w:p w:rsidR="0029451D" w:rsidRPr="0029451D" w:rsidRDefault="0029451D" w:rsidP="0029451D">
      <w:pPr>
        <w:spacing w:before="120" w:after="200" w:line="276" w:lineRule="auto"/>
        <w:ind w:left="720"/>
        <w:contextualSpacing/>
        <w:rPr>
          <w:rFonts w:ascii="Arial" w:eastAsia="Times" w:hAnsi="Arial" w:cs="Arial"/>
          <w:color w:val="4C4C4C"/>
          <w:sz w:val="22"/>
          <w:szCs w:val="22"/>
        </w:rPr>
      </w:pPr>
      <w:bookmarkStart w:id="11" w:name="_Toc253053129"/>
      <w:r w:rsidRPr="0029451D">
        <w:rPr>
          <w:rFonts w:ascii="Arial" w:eastAsia="Times" w:hAnsi="Arial" w:cs="Arial"/>
          <w:color w:val="4C4C4C"/>
          <w:sz w:val="22"/>
          <w:szCs w:val="22"/>
        </w:rPr>
        <w:t xml:space="preserve">The National Institute for Communicable Diseases (NICD), a division of the NHLS, has been tasked with national communicable disease surveillance in preparation of the formation of the National Public Health Institute of South Africa (NAPHISA). </w:t>
      </w:r>
    </w:p>
    <w:p w:rsidR="0029451D" w:rsidRPr="0029451D" w:rsidRDefault="0029451D" w:rsidP="0029451D">
      <w:pPr>
        <w:spacing w:before="120"/>
        <w:ind w:left="720"/>
        <w:jc w:val="both"/>
        <w:rPr>
          <w:rFonts w:ascii="Arial" w:eastAsia="Times" w:hAnsi="Arial" w:cs="Arial"/>
          <w:color w:val="4C4C4C"/>
          <w:sz w:val="18"/>
          <w:szCs w:val="20"/>
          <w:lang w:val="en-GB"/>
        </w:rPr>
      </w:pPr>
      <w:r w:rsidRPr="0029451D">
        <w:rPr>
          <w:rFonts w:ascii="Arial" w:eastAsia="Times" w:hAnsi="Arial" w:cs="Arial"/>
          <w:noProof/>
          <w:color w:val="333333"/>
          <w:sz w:val="22"/>
          <w:szCs w:val="22"/>
        </w:rPr>
        <w:t>NICD is reliant on the NHLS CDW environment for its surveillance reporting (currently encompassing HIV, TB and AMR weekly distributed reports, monthly reports and online reporting dashboards). In addition, the NMC mobile/web application has been deployed in the NHLS CDW MicroStrategy environment.</w:t>
      </w:r>
    </w:p>
    <w:p w:rsidR="0029451D" w:rsidRPr="0029451D" w:rsidRDefault="0029451D" w:rsidP="0029451D">
      <w:pPr>
        <w:spacing w:before="120" w:line="276" w:lineRule="auto"/>
        <w:ind w:left="720"/>
        <w:contextualSpacing/>
        <w:jc w:val="both"/>
        <w:rPr>
          <w:rFonts w:ascii="Arial" w:eastAsia="Times" w:hAnsi="Arial" w:cs="Arial"/>
          <w:color w:val="4C4C4C"/>
          <w:sz w:val="22"/>
          <w:szCs w:val="22"/>
        </w:rPr>
      </w:pPr>
      <w:r w:rsidRPr="0029451D">
        <w:rPr>
          <w:rFonts w:ascii="Arial" w:eastAsia="Times" w:hAnsi="Arial" w:cs="Arial"/>
          <w:color w:val="4C4C4C"/>
          <w:sz w:val="22"/>
          <w:szCs w:val="22"/>
        </w:rPr>
        <w:t xml:space="preserve">The NICD BI Project Team is responsible for all new development for surveillance reporting. As part of a strategy to support a future independent NAPHISA, the acquisition of a platform for, and the configuration of, a dedicated data warehouse/BI NICD/NAPHISA is in progress. </w:t>
      </w:r>
    </w:p>
    <w:p w:rsidR="0029451D" w:rsidRPr="0029451D" w:rsidRDefault="0029451D" w:rsidP="0029451D">
      <w:pPr>
        <w:spacing w:before="120" w:line="276" w:lineRule="auto"/>
        <w:ind w:left="720"/>
        <w:contextualSpacing/>
        <w:jc w:val="both"/>
        <w:rPr>
          <w:rFonts w:ascii="Arial" w:eastAsia="Times" w:hAnsi="Arial" w:cs="Arial"/>
          <w:color w:val="4C4C4C"/>
          <w:sz w:val="22"/>
          <w:szCs w:val="22"/>
        </w:rPr>
      </w:pPr>
      <w:r w:rsidRPr="0029451D">
        <w:rPr>
          <w:rFonts w:ascii="Arial" w:eastAsia="Times" w:hAnsi="Arial" w:cs="Arial"/>
          <w:color w:val="4C4C4C"/>
          <w:sz w:val="22"/>
          <w:szCs w:val="22"/>
        </w:rPr>
        <w:t>In parallel, there is a recruitment process in progress to build a team of appropriately qualified senior resources to support the environment.</w:t>
      </w:r>
    </w:p>
    <w:p w:rsidR="0029451D" w:rsidRDefault="0029451D" w:rsidP="0029451D">
      <w:pPr>
        <w:spacing w:before="120" w:after="200" w:line="276" w:lineRule="auto"/>
        <w:ind w:left="720"/>
        <w:contextualSpacing/>
        <w:jc w:val="both"/>
        <w:rPr>
          <w:rFonts w:ascii="Arial" w:eastAsia="Times" w:hAnsi="Arial" w:cs="Arial"/>
          <w:color w:val="4C4C4C"/>
          <w:sz w:val="22"/>
          <w:szCs w:val="22"/>
        </w:rPr>
      </w:pPr>
      <w:r w:rsidRPr="0029451D">
        <w:rPr>
          <w:rFonts w:ascii="Arial" w:eastAsia="Times" w:hAnsi="Arial" w:cs="Arial"/>
          <w:color w:val="4C4C4C"/>
          <w:sz w:val="22"/>
          <w:szCs w:val="22"/>
        </w:rPr>
        <w:t>In the interim, it is necessary to utilise consulting resources to support environments deployed into Production by the project team and to perform minor enhancements in the Production environment.</w:t>
      </w:r>
    </w:p>
    <w:p w:rsidR="0029451D" w:rsidRPr="0029451D" w:rsidRDefault="0029451D" w:rsidP="0029451D">
      <w:pPr>
        <w:spacing w:before="120" w:after="200" w:line="276" w:lineRule="auto"/>
        <w:ind w:left="720"/>
        <w:contextualSpacing/>
        <w:jc w:val="both"/>
        <w:rPr>
          <w:rFonts w:ascii="Arial" w:eastAsia="Times" w:hAnsi="Arial" w:cs="Arial"/>
          <w:color w:val="4C4C4C"/>
          <w:sz w:val="22"/>
          <w:szCs w:val="22"/>
        </w:rPr>
      </w:pPr>
    </w:p>
    <w:p w:rsidR="0029451D" w:rsidRPr="0029451D" w:rsidRDefault="0029451D" w:rsidP="0029451D">
      <w:pPr>
        <w:numPr>
          <w:ilvl w:val="0"/>
          <w:numId w:val="36"/>
        </w:numPr>
        <w:spacing w:line="276" w:lineRule="auto"/>
        <w:jc w:val="both"/>
        <w:rPr>
          <w:rFonts w:ascii="Arial" w:eastAsia="Times" w:hAnsi="Arial" w:cs="Arial"/>
          <w:b/>
          <w:color w:val="4C4C4C"/>
          <w:lang w:val="en-GB"/>
        </w:rPr>
      </w:pPr>
      <w:r w:rsidRPr="0029451D">
        <w:rPr>
          <w:rFonts w:ascii="Arial" w:eastAsia="Times" w:hAnsi="Arial" w:cs="Arial"/>
          <w:b/>
          <w:color w:val="4C4C4C"/>
          <w:lang w:val="en-GB"/>
        </w:rPr>
        <w:t>The Scope of this RFQ</w:t>
      </w:r>
      <w:bookmarkEnd w:id="11"/>
    </w:p>
    <w:p w:rsidR="0029451D" w:rsidRPr="0029451D" w:rsidRDefault="0029451D" w:rsidP="0029451D">
      <w:pPr>
        <w:tabs>
          <w:tab w:val="left" w:pos="709"/>
        </w:tabs>
        <w:spacing w:line="276" w:lineRule="auto"/>
        <w:ind w:left="720"/>
        <w:jc w:val="both"/>
        <w:rPr>
          <w:rFonts w:ascii="Arial" w:eastAsia="Times" w:hAnsi="Arial" w:cs="Arial"/>
          <w:b/>
          <w:color w:val="4C4C4C"/>
          <w:lang w:val="en-GB"/>
        </w:rPr>
      </w:pPr>
      <w:r w:rsidRPr="0029451D">
        <w:rPr>
          <w:rFonts w:ascii="Arial" w:eastAsia="Times" w:hAnsi="Arial" w:cs="Arial"/>
          <w:noProof/>
          <w:color w:val="333333"/>
          <w:sz w:val="22"/>
          <w:szCs w:val="22"/>
          <w:lang w:val="en-GB"/>
        </w:rPr>
        <w:t>The provision of a senior Informatica Powercenter resource on a part-time basis (3 days/week) for a period of 6 months to assist with the following:</w:t>
      </w:r>
    </w:p>
    <w:p w:rsidR="0029451D" w:rsidRPr="0029451D" w:rsidRDefault="0029451D" w:rsidP="0029451D">
      <w:pPr>
        <w:numPr>
          <w:ilvl w:val="0"/>
          <w:numId w:val="40"/>
        </w:numPr>
        <w:spacing w:before="60" w:after="60"/>
        <w:ind w:left="1434" w:hanging="357"/>
        <w:jc w:val="both"/>
        <w:rPr>
          <w:rFonts w:ascii="Arial" w:eastAsia="Times" w:hAnsi="Arial" w:cs="Arial"/>
          <w:noProof/>
          <w:color w:val="333333"/>
          <w:sz w:val="22"/>
          <w:szCs w:val="22"/>
          <w:lang w:val="en-GB"/>
        </w:rPr>
      </w:pPr>
      <w:r w:rsidRPr="0029451D">
        <w:rPr>
          <w:rFonts w:ascii="Arial" w:eastAsia="Times" w:hAnsi="Arial" w:cs="Arial"/>
          <w:noProof/>
          <w:color w:val="333333"/>
          <w:sz w:val="22"/>
          <w:szCs w:val="22"/>
          <w:lang w:val="en-GB"/>
        </w:rPr>
        <w:t>Troubleshoot issues related to NICD developed ETL;</w:t>
      </w:r>
    </w:p>
    <w:p w:rsidR="0029451D" w:rsidRPr="0029451D" w:rsidRDefault="0029451D" w:rsidP="0029451D">
      <w:pPr>
        <w:numPr>
          <w:ilvl w:val="0"/>
          <w:numId w:val="40"/>
        </w:numPr>
        <w:spacing w:before="60" w:after="60"/>
        <w:ind w:left="1434" w:hanging="357"/>
        <w:jc w:val="both"/>
        <w:rPr>
          <w:rFonts w:ascii="Arial" w:eastAsia="Times" w:hAnsi="Arial" w:cs="Arial"/>
          <w:noProof/>
          <w:color w:val="333333"/>
          <w:sz w:val="22"/>
          <w:szCs w:val="22"/>
          <w:lang w:val="en-GB"/>
        </w:rPr>
      </w:pPr>
      <w:r w:rsidRPr="0029451D">
        <w:rPr>
          <w:rFonts w:ascii="Arial" w:eastAsia="Times" w:hAnsi="Arial" w:cs="Arial"/>
          <w:noProof/>
          <w:color w:val="333333"/>
          <w:sz w:val="22"/>
          <w:szCs w:val="22"/>
          <w:lang w:val="en-GB"/>
        </w:rPr>
        <w:t>Assist with migration of new ETL to the CDW environment;</w:t>
      </w:r>
    </w:p>
    <w:p w:rsidR="0029451D" w:rsidRPr="0029451D" w:rsidRDefault="0029451D" w:rsidP="0029451D">
      <w:pPr>
        <w:numPr>
          <w:ilvl w:val="0"/>
          <w:numId w:val="40"/>
        </w:numPr>
        <w:spacing w:before="60" w:after="60"/>
        <w:ind w:left="1434" w:hanging="357"/>
        <w:jc w:val="both"/>
        <w:rPr>
          <w:rFonts w:ascii="Arial" w:eastAsia="Times" w:hAnsi="Arial" w:cs="Arial"/>
          <w:noProof/>
          <w:color w:val="333333"/>
          <w:sz w:val="22"/>
          <w:szCs w:val="22"/>
          <w:lang w:val="en-GB"/>
        </w:rPr>
      </w:pPr>
      <w:r w:rsidRPr="0029451D">
        <w:rPr>
          <w:rFonts w:ascii="Arial" w:eastAsia="Times" w:hAnsi="Arial" w:cs="Arial"/>
          <w:noProof/>
          <w:color w:val="333333"/>
          <w:sz w:val="22"/>
          <w:szCs w:val="22"/>
          <w:lang w:val="en-GB"/>
        </w:rPr>
        <w:t>Assist with software installations in the NICD/NAPHISA environment;</w:t>
      </w:r>
    </w:p>
    <w:p w:rsidR="00D55843" w:rsidRDefault="00D55843"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Pr="00D55843" w:rsidRDefault="00D55843" w:rsidP="00EF57BB">
      <w:pPr>
        <w:spacing w:line="360" w:lineRule="auto"/>
        <w:rPr>
          <w:rFonts w:ascii="Arial" w:hAnsi="Arial" w:cs="Arial"/>
          <w:b/>
          <w:bCs/>
          <w:sz w:val="20"/>
          <w:szCs w:val="20"/>
        </w:rPr>
      </w:pPr>
      <w:r w:rsidRPr="00D55843">
        <w:rPr>
          <w:rFonts w:ascii="Arial" w:hAnsi="Arial" w:cs="Arial"/>
          <w:b/>
          <w:bCs/>
          <w:sz w:val="20"/>
          <w:szCs w:val="20"/>
        </w:rPr>
        <w:t>Mandatory Requirements:</w:t>
      </w:r>
    </w:p>
    <w:p w:rsidR="006553F0" w:rsidRDefault="00E31F21" w:rsidP="00EF57BB">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w:t>
      </w:r>
      <w:r>
        <w:rPr>
          <w:rFonts w:ascii="Arial" w:hAnsi="Arial" w:cs="Arial"/>
          <w:b/>
          <w:bCs/>
          <w:color w:val="FF0000"/>
          <w:sz w:val="20"/>
          <w:szCs w:val="20"/>
        </w:rPr>
        <w:t>l</w:t>
      </w:r>
      <w:r w:rsidRPr="000D6A3E">
        <w:rPr>
          <w:rFonts w:ascii="Arial" w:hAnsi="Arial" w:cs="Arial"/>
          <w:b/>
          <w:bCs/>
          <w:color w:val="FF0000"/>
          <w:sz w:val="20"/>
          <w:szCs w:val="20"/>
        </w:rPr>
        <w:t>ified.</w:t>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tbl>
      <w:tblPr>
        <w:tblStyle w:val="TableGrid"/>
        <w:tblW w:w="0" w:type="auto"/>
        <w:tblLook w:val="04A0" w:firstRow="1" w:lastRow="0" w:firstColumn="1" w:lastColumn="0" w:noHBand="0" w:noVBand="1"/>
      </w:tblPr>
      <w:tblGrid>
        <w:gridCol w:w="1129"/>
        <w:gridCol w:w="4140"/>
        <w:gridCol w:w="2388"/>
        <w:gridCol w:w="2388"/>
      </w:tblGrid>
      <w:tr w:rsidR="00D55843" w:rsidTr="00D55843">
        <w:tc>
          <w:tcPr>
            <w:tcW w:w="1129"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NO.</w:t>
            </w:r>
          </w:p>
        </w:tc>
        <w:tc>
          <w:tcPr>
            <w:tcW w:w="4140"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REQUIREMENTS</w:t>
            </w:r>
          </w:p>
        </w:tc>
        <w:tc>
          <w:tcPr>
            <w:tcW w:w="2388"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COMPLY</w:t>
            </w:r>
          </w:p>
        </w:tc>
        <w:tc>
          <w:tcPr>
            <w:tcW w:w="2388"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NOT COMPLY</w:t>
            </w: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1</w:t>
            </w:r>
          </w:p>
        </w:tc>
        <w:tc>
          <w:tcPr>
            <w:tcW w:w="4140" w:type="dxa"/>
          </w:tcPr>
          <w:p w:rsidR="00D55843" w:rsidRPr="005A3EB7" w:rsidRDefault="0029451D" w:rsidP="0029451D">
            <w:pPr>
              <w:spacing w:line="360" w:lineRule="auto"/>
              <w:rPr>
                <w:rFonts w:ascii="Arial" w:hAnsi="Arial" w:cs="Arial"/>
                <w:bCs/>
                <w:sz w:val="20"/>
                <w:szCs w:val="20"/>
              </w:rPr>
            </w:pPr>
            <w:r w:rsidRPr="0029451D">
              <w:rPr>
                <w:rFonts w:ascii="Arial" w:hAnsi="Arial" w:cs="Arial"/>
                <w:bCs/>
                <w:sz w:val="20"/>
                <w:szCs w:val="20"/>
              </w:rPr>
              <w:t>Details and duration of prior experience of the specific resource must be provided on CV</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2</w:t>
            </w:r>
          </w:p>
        </w:tc>
        <w:tc>
          <w:tcPr>
            <w:tcW w:w="4140" w:type="dxa"/>
          </w:tcPr>
          <w:p w:rsidR="00D55843" w:rsidRPr="005A3EB7" w:rsidRDefault="005A3EB7" w:rsidP="0029451D">
            <w:pPr>
              <w:spacing w:line="360" w:lineRule="auto"/>
              <w:rPr>
                <w:rFonts w:ascii="Arial" w:hAnsi="Arial" w:cs="Arial"/>
                <w:bCs/>
                <w:sz w:val="20"/>
                <w:szCs w:val="20"/>
              </w:rPr>
            </w:pPr>
            <w:r w:rsidRPr="005A3EB7">
              <w:rPr>
                <w:rFonts w:ascii="Arial" w:hAnsi="Arial" w:cs="Arial"/>
                <w:bCs/>
                <w:sz w:val="20"/>
                <w:szCs w:val="20"/>
              </w:rPr>
              <w:t>Bidder must provide CV</w:t>
            </w:r>
            <w:r w:rsidR="0029451D">
              <w:rPr>
                <w:rFonts w:ascii="Arial" w:hAnsi="Arial" w:cs="Arial"/>
                <w:bCs/>
                <w:sz w:val="20"/>
                <w:szCs w:val="20"/>
              </w:rPr>
              <w:t xml:space="preserve"> of proposed resource</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3</w:t>
            </w:r>
          </w:p>
        </w:tc>
        <w:tc>
          <w:tcPr>
            <w:tcW w:w="4140" w:type="dxa"/>
          </w:tcPr>
          <w:p w:rsidR="00D55843" w:rsidRPr="005A3EB7" w:rsidRDefault="005A3EB7" w:rsidP="005A3EB7">
            <w:pPr>
              <w:spacing w:line="360" w:lineRule="auto"/>
              <w:rPr>
                <w:rFonts w:ascii="Arial" w:hAnsi="Arial" w:cs="Arial"/>
                <w:bCs/>
                <w:sz w:val="20"/>
                <w:szCs w:val="20"/>
              </w:rPr>
            </w:pPr>
            <w:r w:rsidRPr="005A3EB7">
              <w:rPr>
                <w:rFonts w:ascii="Arial" w:hAnsi="Arial" w:cs="Arial"/>
                <w:bCs/>
                <w:sz w:val="20"/>
                <w:szCs w:val="20"/>
              </w:rPr>
              <w:t>Bidder must indication of available start date</w:t>
            </w:r>
            <w:r w:rsidR="0029451D">
              <w:rPr>
                <w:rFonts w:ascii="Arial" w:hAnsi="Arial" w:cs="Arial"/>
                <w:bCs/>
                <w:sz w:val="20"/>
                <w:szCs w:val="20"/>
              </w:rPr>
              <w:t xml:space="preserve"> of available resource</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bl>
    <w:p w:rsidR="00D55843" w:rsidRDefault="00D55843" w:rsidP="00EF57BB">
      <w:pPr>
        <w:spacing w:line="360" w:lineRule="auto"/>
        <w:rPr>
          <w:rFonts w:ascii="Arial" w:hAnsi="Arial" w:cs="Arial"/>
          <w:bCs/>
          <w:sz w:val="20"/>
          <w:szCs w:val="20"/>
        </w:rPr>
      </w:pPr>
    </w:p>
    <w:p w:rsidR="00D55843" w:rsidRDefault="00D55843" w:rsidP="00D55843">
      <w:pPr>
        <w:spacing w:line="360" w:lineRule="auto"/>
        <w:rPr>
          <w:rFonts w:ascii="Arial" w:hAnsi="Arial" w:cs="Arial"/>
          <w:bCs/>
          <w:sz w:val="20"/>
          <w:szCs w:val="20"/>
        </w:rPr>
      </w:pPr>
    </w:p>
    <w:p w:rsidR="00D55843" w:rsidRDefault="00D55843" w:rsidP="00D55843">
      <w:pPr>
        <w:spacing w:line="360" w:lineRule="auto"/>
        <w:rPr>
          <w:rFonts w:ascii="Arial" w:hAnsi="Arial" w:cs="Arial"/>
          <w:bCs/>
          <w:sz w:val="20"/>
          <w:szCs w:val="20"/>
        </w:rPr>
      </w:pPr>
    </w:p>
    <w:p w:rsidR="00D55843" w:rsidRPr="00D55843" w:rsidRDefault="00D55843" w:rsidP="00D55843">
      <w:pPr>
        <w:spacing w:line="360" w:lineRule="auto"/>
        <w:rPr>
          <w:rFonts w:ascii="Arial" w:hAnsi="Arial" w:cs="Arial"/>
          <w:b/>
          <w:bCs/>
          <w:sz w:val="20"/>
          <w:szCs w:val="20"/>
        </w:rPr>
      </w:pPr>
      <w:r w:rsidRPr="00D55843">
        <w:rPr>
          <w:rFonts w:ascii="Arial" w:hAnsi="Arial" w:cs="Arial"/>
          <w:b/>
          <w:bCs/>
          <w:sz w:val="20"/>
          <w:szCs w:val="20"/>
        </w:rPr>
        <w:t>Functionality Requirements:</w:t>
      </w:r>
    </w:p>
    <w:p w:rsidR="005A3EB7" w:rsidRDefault="00D55843" w:rsidP="0029451D">
      <w:pPr>
        <w:spacing w:line="360" w:lineRule="auto"/>
        <w:rPr>
          <w:rFonts w:ascii="Arial" w:hAnsi="Arial" w:cs="Arial"/>
          <w:b/>
          <w:bCs/>
          <w:color w:val="FF0000"/>
          <w:sz w:val="20"/>
          <w:szCs w:val="20"/>
        </w:rPr>
      </w:pPr>
      <w:r w:rsidRPr="000D6A3E">
        <w:rPr>
          <w:rFonts w:ascii="Arial" w:hAnsi="Arial" w:cs="Arial"/>
          <w:b/>
          <w:bCs/>
          <w:color w:val="FF0000"/>
          <w:sz w:val="20"/>
          <w:szCs w:val="20"/>
        </w:rPr>
        <w:t xml:space="preserve">Bidder </w:t>
      </w:r>
      <w:r>
        <w:rPr>
          <w:rFonts w:ascii="Arial" w:hAnsi="Arial" w:cs="Arial"/>
          <w:b/>
          <w:bCs/>
          <w:color w:val="FF0000"/>
          <w:sz w:val="20"/>
          <w:szCs w:val="20"/>
        </w:rPr>
        <w:t>who comply with all mandatory requirements will be scored based on the below functionality requirements:</w:t>
      </w:r>
      <w:r w:rsidR="0029451D">
        <w:rPr>
          <w:rFonts w:ascii="Arial" w:hAnsi="Arial" w:cs="Arial"/>
          <w:b/>
          <w:bCs/>
          <w:color w:val="FF0000"/>
          <w:sz w:val="20"/>
          <w:szCs w:val="20"/>
        </w:rPr>
        <w:t xml:space="preserve"> </w:t>
      </w:r>
    </w:p>
    <w:p w:rsidR="0029451D" w:rsidRDefault="005A3EB7" w:rsidP="005A3EB7">
      <w:pPr>
        <w:spacing w:line="360" w:lineRule="auto"/>
        <w:rPr>
          <w:rFonts w:ascii="Arial" w:hAnsi="Arial" w:cs="Arial"/>
          <w:bCs/>
          <w:sz w:val="20"/>
          <w:szCs w:val="20"/>
        </w:rPr>
      </w:pPr>
      <w:r>
        <w:rPr>
          <w:rFonts w:ascii="Arial" w:hAnsi="Arial" w:cs="Arial"/>
          <w:bCs/>
          <w:sz w:val="20"/>
          <w:szCs w:val="20"/>
        </w:rPr>
        <w:t xml:space="preserve"> </w:t>
      </w:r>
    </w:p>
    <w:tbl>
      <w:tblPr>
        <w:tblW w:w="10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993"/>
        <w:gridCol w:w="2126"/>
        <w:gridCol w:w="2410"/>
        <w:gridCol w:w="2409"/>
      </w:tblGrid>
      <w:tr w:rsidR="0029451D" w:rsidRPr="0029451D" w:rsidTr="0029451D">
        <w:tc>
          <w:tcPr>
            <w:tcW w:w="2409" w:type="dxa"/>
            <w:shd w:val="clear" w:color="auto" w:fill="auto"/>
          </w:tcPr>
          <w:p w:rsidR="0029451D" w:rsidRPr="0029451D" w:rsidRDefault="0029451D" w:rsidP="0029451D">
            <w:pPr>
              <w:spacing w:before="60" w:after="60"/>
              <w:jc w:val="both"/>
              <w:rPr>
                <w:rFonts w:ascii="Arial" w:eastAsia="Times" w:hAnsi="Arial" w:cs="Arial"/>
                <w:b/>
                <w:color w:val="4C4C4C"/>
                <w:sz w:val="20"/>
                <w:szCs w:val="20"/>
                <w:lang w:val="en-GB"/>
              </w:rPr>
            </w:pPr>
            <w:r w:rsidRPr="0029451D">
              <w:rPr>
                <w:rFonts w:ascii="Arial" w:eastAsia="Times" w:hAnsi="Arial" w:cs="Arial"/>
                <w:b/>
                <w:color w:val="4C4C4C"/>
                <w:sz w:val="20"/>
                <w:szCs w:val="20"/>
                <w:lang w:val="en-GB"/>
              </w:rPr>
              <w:t>Criteria</w:t>
            </w:r>
          </w:p>
        </w:tc>
        <w:tc>
          <w:tcPr>
            <w:tcW w:w="993" w:type="dxa"/>
          </w:tcPr>
          <w:p w:rsidR="0029451D" w:rsidRPr="0029451D" w:rsidRDefault="0029451D" w:rsidP="0029451D">
            <w:pPr>
              <w:spacing w:before="60" w:after="60"/>
              <w:jc w:val="both"/>
              <w:rPr>
                <w:rFonts w:ascii="Arial" w:eastAsia="Times" w:hAnsi="Arial" w:cs="Arial"/>
                <w:b/>
                <w:color w:val="4C4C4C"/>
                <w:sz w:val="20"/>
                <w:szCs w:val="20"/>
                <w:lang w:val="en-GB"/>
              </w:rPr>
            </w:pPr>
            <w:r w:rsidRPr="0029451D">
              <w:rPr>
                <w:rFonts w:ascii="Arial" w:eastAsia="Times" w:hAnsi="Arial" w:cs="Arial"/>
                <w:b/>
                <w:color w:val="4C4C4C"/>
                <w:sz w:val="20"/>
                <w:szCs w:val="20"/>
                <w:lang w:val="en-GB"/>
              </w:rPr>
              <w:t>Scoring</w:t>
            </w:r>
          </w:p>
        </w:tc>
        <w:tc>
          <w:tcPr>
            <w:tcW w:w="6945" w:type="dxa"/>
            <w:gridSpan w:val="3"/>
          </w:tcPr>
          <w:p w:rsidR="0029451D" w:rsidRPr="0029451D" w:rsidRDefault="0029451D" w:rsidP="0029451D">
            <w:pPr>
              <w:spacing w:before="60" w:after="60"/>
              <w:jc w:val="center"/>
              <w:rPr>
                <w:rFonts w:ascii="Arial" w:eastAsia="Times" w:hAnsi="Arial" w:cs="Arial"/>
                <w:b/>
                <w:color w:val="4C4C4C"/>
                <w:sz w:val="20"/>
                <w:szCs w:val="20"/>
                <w:lang w:val="en-GB"/>
              </w:rPr>
            </w:pPr>
            <w:r w:rsidRPr="0029451D">
              <w:rPr>
                <w:rFonts w:ascii="Arial" w:eastAsia="Times" w:hAnsi="Arial" w:cs="Arial"/>
                <w:b/>
                <w:color w:val="4C4C4C"/>
                <w:sz w:val="20"/>
                <w:szCs w:val="20"/>
                <w:lang w:val="en-GB"/>
              </w:rPr>
              <w:t>Scoring Breakdown</w:t>
            </w:r>
          </w:p>
        </w:tc>
      </w:tr>
      <w:tr w:rsidR="0029451D" w:rsidRPr="0029451D" w:rsidTr="0029451D">
        <w:tc>
          <w:tcPr>
            <w:tcW w:w="2409" w:type="dxa"/>
            <w:shd w:val="clear" w:color="auto" w:fill="auto"/>
          </w:tcPr>
          <w:p w:rsidR="0029451D" w:rsidRPr="0029451D" w:rsidRDefault="0029451D" w:rsidP="0029451D">
            <w:pPr>
              <w:spacing w:before="60" w:after="60"/>
              <w:jc w:val="both"/>
              <w:rPr>
                <w:rFonts w:ascii="Arial" w:eastAsia="Times" w:hAnsi="Arial" w:cs="Arial"/>
                <w:color w:val="4C4C4C"/>
                <w:sz w:val="20"/>
                <w:szCs w:val="20"/>
                <w:lang w:val="en-GB"/>
              </w:rPr>
            </w:pPr>
            <w:r w:rsidRPr="0029451D">
              <w:rPr>
                <w:rFonts w:ascii="Arial" w:eastAsia="Times" w:hAnsi="Arial" w:cs="Arial"/>
                <w:color w:val="4C4C4C"/>
                <w:sz w:val="20"/>
                <w:szCs w:val="20"/>
                <w:lang w:val="en-GB"/>
              </w:rPr>
              <w:t>Availability to start</w:t>
            </w:r>
          </w:p>
        </w:tc>
        <w:tc>
          <w:tcPr>
            <w:tcW w:w="993" w:type="dxa"/>
          </w:tcPr>
          <w:p w:rsidR="0029451D" w:rsidRPr="0029451D" w:rsidRDefault="0029451D" w:rsidP="0029451D">
            <w:pPr>
              <w:spacing w:before="60" w:after="60"/>
              <w:jc w:val="both"/>
              <w:rPr>
                <w:rFonts w:ascii="Arial" w:eastAsia="Times" w:hAnsi="Arial" w:cs="Arial"/>
                <w:color w:val="4C4C4C"/>
                <w:sz w:val="20"/>
                <w:szCs w:val="20"/>
                <w:lang w:val="en-GB"/>
              </w:rPr>
            </w:pPr>
            <w:r w:rsidRPr="0029451D">
              <w:rPr>
                <w:rFonts w:ascii="Arial" w:eastAsia="Times" w:hAnsi="Arial" w:cs="Arial"/>
                <w:color w:val="4C4C4C"/>
                <w:sz w:val="20"/>
                <w:szCs w:val="20"/>
                <w:lang w:val="en-GB"/>
              </w:rPr>
              <w:t>10%</w:t>
            </w:r>
          </w:p>
        </w:tc>
        <w:tc>
          <w:tcPr>
            <w:tcW w:w="2126"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On 22/04/2018 = 10%</w:t>
            </w:r>
          </w:p>
        </w:tc>
        <w:tc>
          <w:tcPr>
            <w:tcW w:w="2410"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Anytime between</w:t>
            </w:r>
          </w:p>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22 – 30/04/2018 = 5%</w:t>
            </w:r>
          </w:p>
        </w:tc>
        <w:tc>
          <w:tcPr>
            <w:tcW w:w="2409"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After 30/04/2018 = 0%</w:t>
            </w:r>
          </w:p>
        </w:tc>
      </w:tr>
      <w:tr w:rsidR="0029451D" w:rsidRPr="0029451D" w:rsidTr="0029451D">
        <w:tc>
          <w:tcPr>
            <w:tcW w:w="2409" w:type="dxa"/>
            <w:shd w:val="clear" w:color="auto" w:fill="auto"/>
          </w:tcPr>
          <w:p w:rsidR="0029451D" w:rsidRPr="0029451D" w:rsidRDefault="0029451D" w:rsidP="0029451D">
            <w:pPr>
              <w:spacing w:before="60" w:after="60"/>
              <w:rPr>
                <w:rFonts w:ascii="Arial" w:eastAsia="Times" w:hAnsi="Arial" w:cs="Arial"/>
                <w:color w:val="4C4C4C"/>
                <w:sz w:val="20"/>
                <w:szCs w:val="20"/>
                <w:lang w:val="en-GB"/>
              </w:rPr>
            </w:pPr>
            <w:r w:rsidRPr="0029451D">
              <w:rPr>
                <w:rFonts w:ascii="Arial" w:eastAsia="Times" w:hAnsi="Arial" w:cs="Arial"/>
                <w:color w:val="4C4C4C"/>
                <w:sz w:val="20"/>
                <w:szCs w:val="20"/>
                <w:lang w:val="en-GB"/>
              </w:rPr>
              <w:t>Qualifications of proposed resources</w:t>
            </w:r>
          </w:p>
        </w:tc>
        <w:tc>
          <w:tcPr>
            <w:tcW w:w="993" w:type="dxa"/>
          </w:tcPr>
          <w:p w:rsidR="0029451D" w:rsidRPr="0029451D" w:rsidRDefault="0029451D" w:rsidP="0029451D">
            <w:pPr>
              <w:spacing w:before="60" w:after="60"/>
              <w:jc w:val="both"/>
              <w:rPr>
                <w:rFonts w:ascii="Arial" w:eastAsia="Times" w:hAnsi="Arial" w:cs="Arial"/>
                <w:color w:val="4C4C4C"/>
                <w:sz w:val="20"/>
                <w:szCs w:val="20"/>
                <w:lang w:val="en-GB"/>
              </w:rPr>
            </w:pPr>
            <w:r w:rsidRPr="0029451D">
              <w:rPr>
                <w:rFonts w:ascii="Arial" w:eastAsia="Times" w:hAnsi="Arial" w:cs="Arial"/>
                <w:color w:val="4C4C4C"/>
                <w:sz w:val="20"/>
                <w:szCs w:val="20"/>
                <w:lang w:val="en-GB"/>
              </w:rPr>
              <w:t>20%</w:t>
            </w:r>
          </w:p>
        </w:tc>
        <w:tc>
          <w:tcPr>
            <w:tcW w:w="2126"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No certification 0%</w:t>
            </w:r>
          </w:p>
        </w:tc>
        <w:tc>
          <w:tcPr>
            <w:tcW w:w="2410" w:type="dxa"/>
          </w:tcPr>
          <w:p w:rsidR="0029451D" w:rsidRPr="0029451D" w:rsidRDefault="0029451D" w:rsidP="0029451D">
            <w:pPr>
              <w:spacing w:before="60" w:after="60"/>
              <w:jc w:val="center"/>
              <w:rPr>
                <w:rFonts w:ascii="Arial" w:eastAsia="Times" w:hAnsi="Arial" w:cs="Arial"/>
                <w:color w:val="4C4C4C"/>
                <w:sz w:val="20"/>
                <w:szCs w:val="20"/>
                <w:lang w:val="en-GB"/>
              </w:rPr>
            </w:pPr>
          </w:p>
        </w:tc>
        <w:tc>
          <w:tcPr>
            <w:tcW w:w="2409"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Informatica Powercenter = 20%</w:t>
            </w:r>
          </w:p>
        </w:tc>
      </w:tr>
      <w:tr w:rsidR="0029451D" w:rsidRPr="0029451D" w:rsidTr="0029451D">
        <w:tc>
          <w:tcPr>
            <w:tcW w:w="2409" w:type="dxa"/>
            <w:shd w:val="clear" w:color="auto" w:fill="auto"/>
          </w:tcPr>
          <w:p w:rsidR="0029451D" w:rsidRPr="0029451D" w:rsidRDefault="0029451D" w:rsidP="0029451D">
            <w:pPr>
              <w:spacing w:before="60" w:after="60"/>
              <w:rPr>
                <w:rFonts w:ascii="Arial" w:eastAsia="Times" w:hAnsi="Arial" w:cs="Arial"/>
                <w:color w:val="4C4C4C"/>
                <w:sz w:val="20"/>
                <w:szCs w:val="20"/>
                <w:lang w:val="en-GB"/>
              </w:rPr>
            </w:pPr>
            <w:r w:rsidRPr="0029451D">
              <w:rPr>
                <w:rFonts w:ascii="Arial" w:eastAsia="Times" w:hAnsi="Arial" w:cs="Arial"/>
                <w:color w:val="4C4C4C"/>
                <w:sz w:val="20"/>
                <w:szCs w:val="20"/>
                <w:lang w:val="en-GB"/>
              </w:rPr>
              <w:t>Experience of proposed resources using Informatica and/or equivalent enterprise ETL Tool</w:t>
            </w:r>
          </w:p>
        </w:tc>
        <w:tc>
          <w:tcPr>
            <w:tcW w:w="993" w:type="dxa"/>
          </w:tcPr>
          <w:p w:rsidR="0029451D" w:rsidRPr="0029451D" w:rsidRDefault="0029451D" w:rsidP="0029451D">
            <w:pPr>
              <w:spacing w:before="60" w:after="60"/>
              <w:jc w:val="both"/>
              <w:rPr>
                <w:rFonts w:ascii="Arial" w:eastAsia="Times" w:hAnsi="Arial" w:cs="Arial"/>
                <w:color w:val="4C4C4C"/>
                <w:sz w:val="20"/>
                <w:szCs w:val="20"/>
                <w:lang w:val="en-GB"/>
              </w:rPr>
            </w:pPr>
            <w:r w:rsidRPr="0029451D">
              <w:rPr>
                <w:rFonts w:ascii="Arial" w:eastAsia="Times" w:hAnsi="Arial" w:cs="Arial"/>
                <w:color w:val="4C4C4C"/>
                <w:sz w:val="20"/>
                <w:szCs w:val="20"/>
                <w:lang w:val="en-GB"/>
              </w:rPr>
              <w:t>70%</w:t>
            </w:r>
          </w:p>
        </w:tc>
        <w:tc>
          <w:tcPr>
            <w:tcW w:w="2126"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3-5 years = 20%</w:t>
            </w:r>
          </w:p>
        </w:tc>
        <w:tc>
          <w:tcPr>
            <w:tcW w:w="2410"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6-7 years = 40%</w:t>
            </w:r>
          </w:p>
        </w:tc>
        <w:tc>
          <w:tcPr>
            <w:tcW w:w="2409" w:type="dxa"/>
          </w:tcPr>
          <w:p w:rsidR="0029451D" w:rsidRPr="0029451D" w:rsidRDefault="0029451D" w:rsidP="0029451D">
            <w:pPr>
              <w:spacing w:before="60" w:after="60"/>
              <w:jc w:val="center"/>
              <w:rPr>
                <w:rFonts w:ascii="Arial" w:eastAsia="Times" w:hAnsi="Arial" w:cs="Arial"/>
                <w:color w:val="4C4C4C"/>
                <w:sz w:val="20"/>
                <w:szCs w:val="20"/>
                <w:lang w:val="en-GB"/>
              </w:rPr>
            </w:pPr>
            <w:r w:rsidRPr="0029451D">
              <w:rPr>
                <w:rFonts w:ascii="Arial" w:eastAsia="Times" w:hAnsi="Arial" w:cs="Arial"/>
                <w:color w:val="4C4C4C"/>
                <w:sz w:val="20"/>
                <w:szCs w:val="20"/>
                <w:lang w:val="en-GB"/>
              </w:rPr>
              <w:t>8-10 years = 70%</w:t>
            </w:r>
          </w:p>
        </w:tc>
      </w:tr>
    </w:tbl>
    <w:p w:rsidR="00D55843" w:rsidRDefault="00D55843" w:rsidP="005A3EB7">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95331F" w:rsidRPr="007D7EDE" w:rsidRDefault="00666B61" w:rsidP="004B7180">
      <w:pPr>
        <w:spacing w:line="360" w:lineRule="auto"/>
        <w:rPr>
          <w:color w:val="000080"/>
          <w:sz w:val="36"/>
          <w:szCs w:val="36"/>
        </w:rPr>
      </w:pPr>
      <w:bookmarkStart w:id="12" w:name="_Toc372610076"/>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2"/>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lastRenderedPageBreak/>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83052118"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7AA0"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3" w:name="_Toc199296480"/>
      <w:bookmarkStart w:id="14"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3"/>
      <w:r w:rsidR="00BF51B8" w:rsidRPr="007D7EDE">
        <w:rPr>
          <w:rFonts w:cs="Arial"/>
          <w:color w:val="000080"/>
          <w:sz w:val="36"/>
          <w:szCs w:val="36"/>
        </w:rPr>
        <w:t xml:space="preserve">  SBD 2</w:t>
      </w:r>
      <w:bookmarkEnd w:id="14"/>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5"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6" w:name="_Toc372610078"/>
      <w:r w:rsidRPr="006749B3">
        <w:rPr>
          <w:rFonts w:cs="Arial"/>
          <w:color w:val="000080"/>
          <w:sz w:val="36"/>
          <w:szCs w:val="36"/>
        </w:rPr>
        <w:t>Declaration Of Interest</w:t>
      </w:r>
      <w:bookmarkEnd w:id="15"/>
      <w:r w:rsidRPr="006749B3">
        <w:rPr>
          <w:rFonts w:cs="Arial"/>
          <w:color w:val="000080"/>
          <w:sz w:val="36"/>
          <w:szCs w:val="36"/>
        </w:rPr>
        <w:t xml:space="preserve">   SBD 4</w:t>
      </w:r>
      <w:bookmarkEnd w:id="16"/>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7" w:name="_Toc294861681"/>
      <w:bookmarkStart w:id="18" w:name="_Toc294861713"/>
      <w:bookmarkStart w:id="19" w:name="_Toc295129461"/>
      <w:bookmarkStart w:id="20" w:name="_Toc296431822"/>
      <w:bookmarkStart w:id="21" w:name="_Toc296431853"/>
      <w:bookmarkStart w:id="22" w:name="_Toc297531525"/>
      <w:bookmarkStart w:id="23" w:name="_Toc297531629"/>
      <w:bookmarkStart w:id="24" w:name="_Toc297532058"/>
      <w:bookmarkStart w:id="25" w:name="_Toc297536840"/>
      <w:bookmarkStart w:id="26" w:name="_Toc297802061"/>
      <w:bookmarkStart w:id="27" w:name="_Toc297802083"/>
      <w:bookmarkStart w:id="28" w:name="_Toc305743316"/>
      <w:bookmarkStart w:id="29" w:name="_Toc305743744"/>
      <w:bookmarkStart w:id="30" w:name="_Toc311562024"/>
      <w:bookmarkStart w:id="31"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2" w:name="_Toc294861682"/>
      <w:bookmarkStart w:id="33" w:name="_Toc294861714"/>
      <w:bookmarkStart w:id="34" w:name="_Toc295129462"/>
      <w:bookmarkStart w:id="35" w:name="_Toc296431823"/>
      <w:bookmarkStart w:id="36" w:name="_Toc296431854"/>
      <w:bookmarkStart w:id="37" w:name="_Toc297531526"/>
      <w:bookmarkStart w:id="38" w:name="_Toc297531630"/>
      <w:bookmarkStart w:id="39" w:name="_Toc297532059"/>
      <w:bookmarkStart w:id="40" w:name="_Toc297536841"/>
      <w:bookmarkStart w:id="41" w:name="_Toc297802062"/>
      <w:bookmarkStart w:id="42" w:name="_Toc297802084"/>
      <w:bookmarkStart w:id="43" w:name="_Toc305743317"/>
      <w:bookmarkStart w:id="44" w:name="_Toc305743745"/>
      <w:bookmarkStart w:id="45" w:name="_Toc311562025"/>
      <w:bookmarkStart w:id="46"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7" w:name="_Toc372610081"/>
      <w:r w:rsidRPr="000303D9">
        <w:rPr>
          <w:color w:val="00297A"/>
          <w:sz w:val="36"/>
          <w:szCs w:val="36"/>
        </w:rPr>
        <w:lastRenderedPageBreak/>
        <w:t>Government Procurement: General Conditions of Contract – July 2011</w:t>
      </w:r>
      <w:bookmarkEnd w:id="47"/>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E4" w:rsidRDefault="004938E4">
      <w:r>
        <w:separator/>
      </w:r>
    </w:p>
    <w:p w:rsidR="004938E4" w:rsidRDefault="004938E4"/>
  </w:endnote>
  <w:endnote w:type="continuationSeparator" w:id="0">
    <w:p w:rsidR="004938E4" w:rsidRDefault="004938E4">
      <w:r>
        <w:continuationSeparator/>
      </w:r>
    </w:p>
    <w:p w:rsidR="004938E4" w:rsidRDefault="00493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89" w:rsidRDefault="00603A8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03A89" w:rsidRDefault="00603A89"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603A89" w:rsidRPr="00487022" w:rsidTr="007D7EDE">
      <w:trPr>
        <w:trHeight w:val="182"/>
        <w:jc w:val="center"/>
      </w:trPr>
      <w:tc>
        <w:tcPr>
          <w:tcW w:w="3373" w:type="dxa"/>
        </w:tcPr>
        <w:p w:rsidR="00603A89" w:rsidRPr="00487022" w:rsidRDefault="00603A89" w:rsidP="007F654A">
          <w:pPr>
            <w:pStyle w:val="Footer"/>
            <w:tabs>
              <w:tab w:val="clear" w:pos="4153"/>
              <w:tab w:val="clear" w:pos="8306"/>
            </w:tabs>
            <w:ind w:right="360"/>
            <w:rPr>
              <w:rFonts w:ascii="Verdana" w:hAnsi="Verdana" w:cs="Arial"/>
              <w:sz w:val="16"/>
              <w:szCs w:val="16"/>
            </w:rPr>
          </w:pPr>
        </w:p>
      </w:tc>
      <w:tc>
        <w:tcPr>
          <w:tcW w:w="2861" w:type="dxa"/>
        </w:tcPr>
        <w:p w:rsidR="00603A89" w:rsidRPr="00487022" w:rsidRDefault="00603A8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603A89" w:rsidRPr="00487022" w:rsidRDefault="00603A8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564E1">
            <w:rPr>
              <w:rStyle w:val="PageNumber"/>
              <w:rFonts w:ascii="Verdana" w:hAnsi="Verdana" w:cs="Arial"/>
              <w:noProof/>
              <w:sz w:val="16"/>
              <w:szCs w:val="16"/>
            </w:rPr>
            <w:t>39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564E1">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603A89" w:rsidRDefault="00603A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E4" w:rsidRDefault="004938E4">
      <w:r>
        <w:separator/>
      </w:r>
    </w:p>
    <w:p w:rsidR="004938E4" w:rsidRDefault="004938E4"/>
  </w:footnote>
  <w:footnote w:type="continuationSeparator" w:id="0">
    <w:p w:rsidR="004938E4" w:rsidRDefault="004938E4">
      <w:r>
        <w:continuationSeparator/>
      </w:r>
    </w:p>
    <w:p w:rsidR="004938E4" w:rsidRDefault="004938E4"/>
  </w:footnote>
  <w:footnote w:id="1">
    <w:p w:rsidR="00603A89" w:rsidRPr="00960C0A" w:rsidRDefault="00603A89"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603A89" w:rsidRPr="00175032" w:rsidRDefault="00603A89" w:rsidP="004E706F">
      <w:pPr>
        <w:numPr>
          <w:ilvl w:val="0"/>
          <w:numId w:val="23"/>
        </w:numPr>
        <w:tabs>
          <w:tab w:val="left" w:pos="709"/>
        </w:tabs>
        <w:ind w:left="709" w:hanging="567"/>
        <w:jc w:val="both"/>
        <w:rPr>
          <w:sz w:val="16"/>
          <w:szCs w:val="16"/>
        </w:rPr>
      </w:pPr>
      <w:r w:rsidRPr="00960C0A">
        <w:rPr>
          <w:sz w:val="16"/>
          <w:szCs w:val="16"/>
        </w:rPr>
        <w:t>Parliament.</w:t>
      </w:r>
    </w:p>
    <w:p w:rsidR="00603A89" w:rsidRPr="00960C0A" w:rsidRDefault="00603A89"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89" w:rsidRDefault="00603A89"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16608A"/>
    <w:multiLevelType w:val="hybridMultilevel"/>
    <w:tmpl w:val="ABE06590"/>
    <w:lvl w:ilvl="0" w:tplc="1C090001">
      <w:start w:val="1"/>
      <w:numFmt w:val="bullet"/>
      <w:lvlText w:val=""/>
      <w:lvlJc w:val="left"/>
      <w:pPr>
        <w:ind w:left="865" w:hanging="360"/>
      </w:pPr>
      <w:rPr>
        <w:rFonts w:ascii="Symbol" w:hAnsi="Symbol" w:hint="default"/>
      </w:rPr>
    </w:lvl>
    <w:lvl w:ilvl="1" w:tplc="1C090003" w:tentative="1">
      <w:start w:val="1"/>
      <w:numFmt w:val="bullet"/>
      <w:lvlText w:val="o"/>
      <w:lvlJc w:val="left"/>
      <w:pPr>
        <w:ind w:left="1585" w:hanging="360"/>
      </w:pPr>
      <w:rPr>
        <w:rFonts w:ascii="Courier New" w:hAnsi="Courier New" w:cs="Courier New" w:hint="default"/>
      </w:rPr>
    </w:lvl>
    <w:lvl w:ilvl="2" w:tplc="1C090005" w:tentative="1">
      <w:start w:val="1"/>
      <w:numFmt w:val="bullet"/>
      <w:lvlText w:val=""/>
      <w:lvlJc w:val="left"/>
      <w:pPr>
        <w:ind w:left="2305" w:hanging="360"/>
      </w:pPr>
      <w:rPr>
        <w:rFonts w:ascii="Wingdings" w:hAnsi="Wingdings" w:hint="default"/>
      </w:rPr>
    </w:lvl>
    <w:lvl w:ilvl="3" w:tplc="1C090001" w:tentative="1">
      <w:start w:val="1"/>
      <w:numFmt w:val="bullet"/>
      <w:lvlText w:val=""/>
      <w:lvlJc w:val="left"/>
      <w:pPr>
        <w:ind w:left="3025" w:hanging="360"/>
      </w:pPr>
      <w:rPr>
        <w:rFonts w:ascii="Symbol" w:hAnsi="Symbol" w:hint="default"/>
      </w:rPr>
    </w:lvl>
    <w:lvl w:ilvl="4" w:tplc="1C090003" w:tentative="1">
      <w:start w:val="1"/>
      <w:numFmt w:val="bullet"/>
      <w:lvlText w:val="o"/>
      <w:lvlJc w:val="left"/>
      <w:pPr>
        <w:ind w:left="3745" w:hanging="360"/>
      </w:pPr>
      <w:rPr>
        <w:rFonts w:ascii="Courier New" w:hAnsi="Courier New" w:cs="Courier New" w:hint="default"/>
      </w:rPr>
    </w:lvl>
    <w:lvl w:ilvl="5" w:tplc="1C090005" w:tentative="1">
      <w:start w:val="1"/>
      <w:numFmt w:val="bullet"/>
      <w:lvlText w:val=""/>
      <w:lvlJc w:val="left"/>
      <w:pPr>
        <w:ind w:left="4465" w:hanging="360"/>
      </w:pPr>
      <w:rPr>
        <w:rFonts w:ascii="Wingdings" w:hAnsi="Wingdings" w:hint="default"/>
      </w:rPr>
    </w:lvl>
    <w:lvl w:ilvl="6" w:tplc="1C090001" w:tentative="1">
      <w:start w:val="1"/>
      <w:numFmt w:val="bullet"/>
      <w:lvlText w:val=""/>
      <w:lvlJc w:val="left"/>
      <w:pPr>
        <w:ind w:left="5185" w:hanging="360"/>
      </w:pPr>
      <w:rPr>
        <w:rFonts w:ascii="Symbol" w:hAnsi="Symbol" w:hint="default"/>
      </w:rPr>
    </w:lvl>
    <w:lvl w:ilvl="7" w:tplc="1C090003" w:tentative="1">
      <w:start w:val="1"/>
      <w:numFmt w:val="bullet"/>
      <w:lvlText w:val="o"/>
      <w:lvlJc w:val="left"/>
      <w:pPr>
        <w:ind w:left="5905" w:hanging="360"/>
      </w:pPr>
      <w:rPr>
        <w:rFonts w:ascii="Courier New" w:hAnsi="Courier New" w:cs="Courier New" w:hint="default"/>
      </w:rPr>
    </w:lvl>
    <w:lvl w:ilvl="8" w:tplc="1C090005" w:tentative="1">
      <w:start w:val="1"/>
      <w:numFmt w:val="bullet"/>
      <w:lvlText w:val=""/>
      <w:lvlJc w:val="left"/>
      <w:pPr>
        <w:ind w:left="6625" w:hanging="360"/>
      </w:pPr>
      <w:rPr>
        <w:rFonts w:ascii="Wingdings" w:hAnsi="Wingding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0" w15:restartNumberingAfterBreak="0">
    <w:nsid w:val="38DE56A9"/>
    <w:multiLevelType w:val="hybridMultilevel"/>
    <w:tmpl w:val="C150B1F6"/>
    <w:lvl w:ilvl="0" w:tplc="42286ABA">
      <w:start w:val="4"/>
      <w:numFmt w:val="bullet"/>
      <w:lvlText w:val="-"/>
      <w:lvlJc w:val="left"/>
      <w:pPr>
        <w:ind w:left="1440" w:hanging="360"/>
      </w:pPr>
      <w:rPr>
        <w:rFonts w:ascii="Arial" w:eastAsia="Times"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D4E85"/>
    <w:multiLevelType w:val="hybridMultilevel"/>
    <w:tmpl w:val="B3009E7C"/>
    <w:lvl w:ilvl="0" w:tplc="868881C4">
      <w:start w:val="1"/>
      <w:numFmt w:val="decimal"/>
      <w:lvlText w:val="%1."/>
      <w:lvlJc w:val="left"/>
      <w:pPr>
        <w:tabs>
          <w:tab w:val="num" w:pos="720"/>
        </w:tabs>
        <w:ind w:left="720" w:hanging="720"/>
      </w:pPr>
    </w:lvl>
    <w:lvl w:ilvl="1" w:tplc="A0AC839A">
      <w:numFmt w:val="none"/>
      <w:lvlText w:val=""/>
      <w:lvlJc w:val="left"/>
      <w:pPr>
        <w:tabs>
          <w:tab w:val="num" w:pos="360"/>
        </w:tabs>
        <w:ind w:left="0" w:firstLine="0"/>
      </w:pPr>
    </w:lvl>
    <w:lvl w:ilvl="2" w:tplc="2EC6E5E6">
      <w:numFmt w:val="none"/>
      <w:lvlText w:val=""/>
      <w:lvlJc w:val="left"/>
      <w:pPr>
        <w:tabs>
          <w:tab w:val="num" w:pos="360"/>
        </w:tabs>
        <w:ind w:left="0" w:firstLine="0"/>
      </w:pPr>
    </w:lvl>
    <w:lvl w:ilvl="3" w:tplc="39780930">
      <w:numFmt w:val="none"/>
      <w:lvlText w:val=""/>
      <w:lvlJc w:val="left"/>
      <w:pPr>
        <w:tabs>
          <w:tab w:val="num" w:pos="360"/>
        </w:tabs>
        <w:ind w:left="0" w:firstLine="0"/>
      </w:pPr>
    </w:lvl>
    <w:lvl w:ilvl="4" w:tplc="EF18091A">
      <w:numFmt w:val="none"/>
      <w:lvlText w:val=""/>
      <w:lvlJc w:val="left"/>
      <w:pPr>
        <w:tabs>
          <w:tab w:val="num" w:pos="360"/>
        </w:tabs>
        <w:ind w:left="0" w:firstLine="0"/>
      </w:pPr>
    </w:lvl>
    <w:lvl w:ilvl="5" w:tplc="9334B9BA">
      <w:numFmt w:val="none"/>
      <w:lvlText w:val=""/>
      <w:lvlJc w:val="left"/>
      <w:pPr>
        <w:tabs>
          <w:tab w:val="num" w:pos="360"/>
        </w:tabs>
        <w:ind w:left="0" w:firstLine="0"/>
      </w:pPr>
    </w:lvl>
    <w:lvl w:ilvl="6" w:tplc="A476F416">
      <w:numFmt w:val="none"/>
      <w:lvlText w:val=""/>
      <w:lvlJc w:val="left"/>
      <w:pPr>
        <w:tabs>
          <w:tab w:val="num" w:pos="360"/>
        </w:tabs>
        <w:ind w:left="0" w:firstLine="0"/>
      </w:pPr>
    </w:lvl>
    <w:lvl w:ilvl="7" w:tplc="978EB6AE">
      <w:numFmt w:val="none"/>
      <w:lvlText w:val=""/>
      <w:lvlJc w:val="left"/>
      <w:pPr>
        <w:tabs>
          <w:tab w:val="num" w:pos="360"/>
        </w:tabs>
        <w:ind w:left="0" w:firstLine="0"/>
      </w:pPr>
    </w:lvl>
    <w:lvl w:ilvl="8" w:tplc="BD2242D4">
      <w:numFmt w:val="none"/>
      <w:lvlText w:val=""/>
      <w:lvlJc w:val="left"/>
      <w:pPr>
        <w:tabs>
          <w:tab w:val="num" w:pos="360"/>
        </w:tabs>
        <w:ind w:left="0" w:firstLine="0"/>
      </w:pPr>
    </w:lvl>
  </w:abstractNum>
  <w:abstractNum w:abstractNumId="25"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F44CE"/>
    <w:multiLevelType w:val="hybridMultilevel"/>
    <w:tmpl w:val="B7DAB59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6"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E462D7"/>
    <w:multiLevelType w:val="hybridMultilevel"/>
    <w:tmpl w:val="5BEAB50A"/>
    <w:lvl w:ilvl="0" w:tplc="1C090001">
      <w:start w:val="1"/>
      <w:numFmt w:val="bullet"/>
      <w:lvlText w:val=""/>
      <w:lvlJc w:val="left"/>
      <w:pPr>
        <w:ind w:left="865" w:hanging="360"/>
      </w:pPr>
      <w:rPr>
        <w:rFonts w:ascii="Symbol" w:hAnsi="Symbol" w:hint="default"/>
      </w:rPr>
    </w:lvl>
    <w:lvl w:ilvl="1" w:tplc="1C090003" w:tentative="1">
      <w:start w:val="1"/>
      <w:numFmt w:val="bullet"/>
      <w:lvlText w:val="o"/>
      <w:lvlJc w:val="left"/>
      <w:pPr>
        <w:ind w:left="1585" w:hanging="360"/>
      </w:pPr>
      <w:rPr>
        <w:rFonts w:ascii="Courier New" w:hAnsi="Courier New" w:cs="Courier New" w:hint="default"/>
      </w:rPr>
    </w:lvl>
    <w:lvl w:ilvl="2" w:tplc="1C090005" w:tentative="1">
      <w:start w:val="1"/>
      <w:numFmt w:val="bullet"/>
      <w:lvlText w:val=""/>
      <w:lvlJc w:val="left"/>
      <w:pPr>
        <w:ind w:left="2305" w:hanging="360"/>
      </w:pPr>
      <w:rPr>
        <w:rFonts w:ascii="Wingdings" w:hAnsi="Wingdings" w:hint="default"/>
      </w:rPr>
    </w:lvl>
    <w:lvl w:ilvl="3" w:tplc="1C090001" w:tentative="1">
      <w:start w:val="1"/>
      <w:numFmt w:val="bullet"/>
      <w:lvlText w:val=""/>
      <w:lvlJc w:val="left"/>
      <w:pPr>
        <w:ind w:left="3025" w:hanging="360"/>
      </w:pPr>
      <w:rPr>
        <w:rFonts w:ascii="Symbol" w:hAnsi="Symbol" w:hint="default"/>
      </w:rPr>
    </w:lvl>
    <w:lvl w:ilvl="4" w:tplc="1C090003" w:tentative="1">
      <w:start w:val="1"/>
      <w:numFmt w:val="bullet"/>
      <w:lvlText w:val="o"/>
      <w:lvlJc w:val="left"/>
      <w:pPr>
        <w:ind w:left="3745" w:hanging="360"/>
      </w:pPr>
      <w:rPr>
        <w:rFonts w:ascii="Courier New" w:hAnsi="Courier New" w:cs="Courier New" w:hint="default"/>
      </w:rPr>
    </w:lvl>
    <w:lvl w:ilvl="5" w:tplc="1C090005" w:tentative="1">
      <w:start w:val="1"/>
      <w:numFmt w:val="bullet"/>
      <w:lvlText w:val=""/>
      <w:lvlJc w:val="left"/>
      <w:pPr>
        <w:ind w:left="4465" w:hanging="360"/>
      </w:pPr>
      <w:rPr>
        <w:rFonts w:ascii="Wingdings" w:hAnsi="Wingdings" w:hint="default"/>
      </w:rPr>
    </w:lvl>
    <w:lvl w:ilvl="6" w:tplc="1C090001" w:tentative="1">
      <w:start w:val="1"/>
      <w:numFmt w:val="bullet"/>
      <w:lvlText w:val=""/>
      <w:lvlJc w:val="left"/>
      <w:pPr>
        <w:ind w:left="5185" w:hanging="360"/>
      </w:pPr>
      <w:rPr>
        <w:rFonts w:ascii="Symbol" w:hAnsi="Symbol" w:hint="default"/>
      </w:rPr>
    </w:lvl>
    <w:lvl w:ilvl="7" w:tplc="1C090003" w:tentative="1">
      <w:start w:val="1"/>
      <w:numFmt w:val="bullet"/>
      <w:lvlText w:val="o"/>
      <w:lvlJc w:val="left"/>
      <w:pPr>
        <w:ind w:left="5905" w:hanging="360"/>
      </w:pPr>
      <w:rPr>
        <w:rFonts w:ascii="Courier New" w:hAnsi="Courier New" w:cs="Courier New" w:hint="default"/>
      </w:rPr>
    </w:lvl>
    <w:lvl w:ilvl="8" w:tplc="1C090005" w:tentative="1">
      <w:start w:val="1"/>
      <w:numFmt w:val="bullet"/>
      <w:lvlText w:val=""/>
      <w:lvlJc w:val="left"/>
      <w:pPr>
        <w:ind w:left="6625" w:hanging="360"/>
      </w:pPr>
      <w:rPr>
        <w:rFonts w:ascii="Wingdings" w:hAnsi="Wingdings" w:hint="default"/>
      </w:rPr>
    </w:lvl>
  </w:abstractNum>
  <w:abstractNum w:abstractNumId="38"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0"/>
  </w:num>
  <w:num w:numId="4">
    <w:abstractNumId w:val="22"/>
  </w:num>
  <w:num w:numId="5">
    <w:abstractNumId w:val="4"/>
  </w:num>
  <w:num w:numId="6">
    <w:abstractNumId w:val="13"/>
  </w:num>
  <w:num w:numId="7">
    <w:abstractNumId w:val="19"/>
  </w:num>
  <w:num w:numId="8">
    <w:abstractNumId w:val="35"/>
  </w:num>
  <w:num w:numId="9">
    <w:abstractNumId w:val="9"/>
  </w:num>
  <w:num w:numId="10">
    <w:abstractNumId w:val="8"/>
  </w:num>
  <w:num w:numId="11">
    <w:abstractNumId w:val="18"/>
  </w:num>
  <w:num w:numId="12">
    <w:abstractNumId w:val="39"/>
  </w:num>
  <w:num w:numId="13">
    <w:abstractNumId w:val="31"/>
  </w:num>
  <w:num w:numId="14">
    <w:abstractNumId w:val="29"/>
  </w:num>
  <w:num w:numId="15">
    <w:abstractNumId w:val="17"/>
  </w:num>
  <w:num w:numId="16">
    <w:abstractNumId w:val="27"/>
  </w:num>
  <w:num w:numId="17">
    <w:abstractNumId w:val="34"/>
  </w:num>
  <w:num w:numId="18">
    <w:abstractNumId w:val="2"/>
  </w:num>
  <w:num w:numId="19">
    <w:abstractNumId w:val="15"/>
  </w:num>
  <w:num w:numId="20">
    <w:abstractNumId w:val="10"/>
  </w:num>
  <w:num w:numId="21">
    <w:abstractNumId w:val="23"/>
  </w:num>
  <w:num w:numId="22">
    <w:abstractNumId w:val="0"/>
  </w:num>
  <w:num w:numId="23">
    <w:abstractNumId w:val="38"/>
  </w:num>
  <w:num w:numId="24">
    <w:abstractNumId w:val="3"/>
  </w:num>
  <w:num w:numId="25">
    <w:abstractNumId w:val="6"/>
  </w:num>
  <w:num w:numId="26">
    <w:abstractNumId w:val="36"/>
  </w:num>
  <w:num w:numId="27">
    <w:abstractNumId w:val="33"/>
  </w:num>
  <w:num w:numId="28">
    <w:abstractNumId w:val="25"/>
  </w:num>
  <w:num w:numId="29">
    <w:abstractNumId w:val="26"/>
  </w:num>
  <w:num w:numId="30">
    <w:abstractNumId w:val="16"/>
  </w:num>
  <w:num w:numId="31">
    <w:abstractNumId w:val="28"/>
  </w:num>
  <w:num w:numId="32">
    <w:abstractNumId w:val="14"/>
  </w:num>
  <w:num w:numId="33">
    <w:abstractNumId w:val="11"/>
  </w:num>
  <w:num w:numId="34">
    <w:abstractNumId w:val="32"/>
  </w:num>
  <w:num w:numId="35">
    <w:abstractNumId w:val="21"/>
  </w:num>
  <w:num w:numId="36">
    <w:abstractNumId w:val="24"/>
    <w:lvlOverride w:ilvl="0">
      <w:startOverride w:val="1"/>
    </w:lvlOverride>
    <w:lvlOverride w:ilvl="1"/>
    <w:lvlOverride w:ilvl="2"/>
    <w:lvlOverride w:ilvl="3"/>
    <w:lvlOverride w:ilvl="4"/>
    <w:lvlOverride w:ilvl="5"/>
    <w:lvlOverride w:ilvl="6"/>
    <w:lvlOverride w:ilvl="7"/>
    <w:lvlOverride w:ilvl="8"/>
  </w:num>
  <w:num w:numId="37">
    <w:abstractNumId w:val="30"/>
  </w:num>
  <w:num w:numId="38">
    <w:abstractNumId w:val="12"/>
  </w:num>
  <w:num w:numId="39">
    <w:abstractNumId w:val="20"/>
  </w:num>
  <w:num w:numId="40">
    <w:abstractNumId w:val="7"/>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7D3B"/>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4DAB"/>
    <w:rsid w:val="00055307"/>
    <w:rsid w:val="000557E0"/>
    <w:rsid w:val="000563DE"/>
    <w:rsid w:val="000564E1"/>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4240"/>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0DB0"/>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7F"/>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5DCF"/>
    <w:rsid w:val="00286C52"/>
    <w:rsid w:val="00286FF0"/>
    <w:rsid w:val="00287098"/>
    <w:rsid w:val="00290995"/>
    <w:rsid w:val="0029216F"/>
    <w:rsid w:val="002936D1"/>
    <w:rsid w:val="002944BD"/>
    <w:rsid w:val="0029451D"/>
    <w:rsid w:val="0029480A"/>
    <w:rsid w:val="00294E08"/>
    <w:rsid w:val="002A10D3"/>
    <w:rsid w:val="002A216F"/>
    <w:rsid w:val="002A4C89"/>
    <w:rsid w:val="002A5B2B"/>
    <w:rsid w:val="002B02DB"/>
    <w:rsid w:val="002B0D89"/>
    <w:rsid w:val="002B3C35"/>
    <w:rsid w:val="002B3F86"/>
    <w:rsid w:val="002B45AB"/>
    <w:rsid w:val="002B4A56"/>
    <w:rsid w:val="002B52EB"/>
    <w:rsid w:val="002B5982"/>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8E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67D9B"/>
    <w:rsid w:val="00470049"/>
    <w:rsid w:val="004706BF"/>
    <w:rsid w:val="004741AA"/>
    <w:rsid w:val="00474277"/>
    <w:rsid w:val="004745E1"/>
    <w:rsid w:val="004755A0"/>
    <w:rsid w:val="00475D27"/>
    <w:rsid w:val="00475DD1"/>
    <w:rsid w:val="00475EDD"/>
    <w:rsid w:val="00476F48"/>
    <w:rsid w:val="00477767"/>
    <w:rsid w:val="004778C4"/>
    <w:rsid w:val="00482B36"/>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8E4"/>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134"/>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3EB7"/>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3A8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22C"/>
    <w:rsid w:val="006C1705"/>
    <w:rsid w:val="006C1A7E"/>
    <w:rsid w:val="006C2089"/>
    <w:rsid w:val="006C2782"/>
    <w:rsid w:val="006C2C2F"/>
    <w:rsid w:val="006C36A0"/>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56A3"/>
    <w:rsid w:val="0070604A"/>
    <w:rsid w:val="00706352"/>
    <w:rsid w:val="007064B5"/>
    <w:rsid w:val="00710B54"/>
    <w:rsid w:val="0071174D"/>
    <w:rsid w:val="007131FF"/>
    <w:rsid w:val="0071339C"/>
    <w:rsid w:val="00713DDF"/>
    <w:rsid w:val="007159BF"/>
    <w:rsid w:val="0071750B"/>
    <w:rsid w:val="007177A7"/>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0E83"/>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B5E42"/>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71A"/>
    <w:rsid w:val="008D6664"/>
    <w:rsid w:val="008D72AD"/>
    <w:rsid w:val="008D7493"/>
    <w:rsid w:val="008D7749"/>
    <w:rsid w:val="008D7D55"/>
    <w:rsid w:val="008E1803"/>
    <w:rsid w:val="008E272F"/>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1494"/>
    <w:rsid w:val="00A12601"/>
    <w:rsid w:val="00A14632"/>
    <w:rsid w:val="00A148CB"/>
    <w:rsid w:val="00A14E64"/>
    <w:rsid w:val="00A209EC"/>
    <w:rsid w:val="00A21BA5"/>
    <w:rsid w:val="00A220C6"/>
    <w:rsid w:val="00A220DB"/>
    <w:rsid w:val="00A223C4"/>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2D90"/>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38A"/>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3ACE"/>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A3"/>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1FD"/>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1143"/>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0B22"/>
    <w:rsid w:val="00CE120D"/>
    <w:rsid w:val="00CE256E"/>
    <w:rsid w:val="00CE3B6B"/>
    <w:rsid w:val="00CE4485"/>
    <w:rsid w:val="00CE53AC"/>
    <w:rsid w:val="00CE55FA"/>
    <w:rsid w:val="00CE5A8D"/>
    <w:rsid w:val="00CE5B87"/>
    <w:rsid w:val="00CE67BB"/>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199E"/>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584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962"/>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2C1"/>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1F2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44E9"/>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1560"/>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CA3"/>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7BB"/>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1AC"/>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240"/>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8BBE0"/>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542486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286577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23923122">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37446890">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1309075">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31223221">
      <w:bodyDiv w:val="1"/>
      <w:marLeft w:val="0"/>
      <w:marRight w:val="0"/>
      <w:marTop w:val="0"/>
      <w:marBottom w:val="0"/>
      <w:divBdr>
        <w:top w:val="none" w:sz="0" w:space="0" w:color="auto"/>
        <w:left w:val="none" w:sz="0" w:space="0" w:color="auto"/>
        <w:bottom w:val="none" w:sz="0" w:space="0" w:color="auto"/>
        <w:right w:val="none" w:sz="0" w:space="0" w:color="auto"/>
      </w:divBdr>
    </w:div>
    <w:div w:id="1090657954">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56731163">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453281820">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517575728">
      <w:bodyDiv w:val="1"/>
      <w:marLeft w:val="0"/>
      <w:marRight w:val="0"/>
      <w:marTop w:val="0"/>
      <w:marBottom w:val="0"/>
      <w:divBdr>
        <w:top w:val="none" w:sz="0" w:space="0" w:color="auto"/>
        <w:left w:val="none" w:sz="0" w:space="0" w:color="auto"/>
        <w:bottom w:val="none" w:sz="0" w:space="0" w:color="auto"/>
        <w:right w:val="none" w:sz="0" w:space="0" w:color="auto"/>
      </w:divBdr>
    </w:div>
    <w:div w:id="1604799712">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010207531">
      <w:bodyDiv w:val="1"/>
      <w:marLeft w:val="0"/>
      <w:marRight w:val="0"/>
      <w:marTop w:val="0"/>
      <w:marBottom w:val="0"/>
      <w:divBdr>
        <w:top w:val="none" w:sz="0" w:space="0" w:color="auto"/>
        <w:left w:val="none" w:sz="0" w:space="0" w:color="auto"/>
        <w:bottom w:val="none" w:sz="0" w:space="0" w:color="auto"/>
        <w:right w:val="none" w:sz="0" w:space="0" w:color="auto"/>
      </w:divBdr>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8C66-AD69-496E-9D1E-F5219B77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10114</Words>
  <Characters>57656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67635</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2018-03-20T09:56:00Z</cp:lastPrinted>
  <dcterms:created xsi:type="dcterms:W3CDTF">2018-03-20T09:47:00Z</dcterms:created>
  <dcterms:modified xsi:type="dcterms:W3CDTF">2018-03-20T09:56:00Z</dcterms:modified>
</cp:coreProperties>
</file>