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bookmarkStart w:id="0" w:name="_GoBack"/>
      <w:bookmarkEnd w:id="0"/>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2D6834"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1400874</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2D6834"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19</w:t>
            </w:r>
            <w:r w:rsidRPr="002D6834">
              <w:rPr>
                <w:rFonts w:ascii="Arial" w:hAnsi="Arial" w:cs="Arial"/>
                <w:b/>
                <w:color w:val="000000" w:themeColor="text1"/>
                <w:sz w:val="20"/>
                <w:szCs w:val="20"/>
                <w:vertAlign w:val="superscript"/>
                <w:lang w:val="en-GB"/>
              </w:rPr>
              <w:t>th</w:t>
            </w:r>
            <w:r>
              <w:rPr>
                <w:rFonts w:ascii="Arial" w:hAnsi="Arial" w:cs="Arial"/>
                <w:b/>
                <w:color w:val="000000" w:themeColor="text1"/>
                <w:sz w:val="20"/>
                <w:szCs w:val="20"/>
                <w:lang w:val="en-GB"/>
              </w:rPr>
              <w:t xml:space="preserve"> </w:t>
            </w:r>
            <w:r w:rsidR="00464E64">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OCTOBER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1"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1"/>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2D6834" w:rsidP="004804BC">
            <w:pPr>
              <w:rPr>
                <w:rFonts w:ascii="Arial" w:hAnsi="Arial" w:cs="Arial"/>
                <w:b/>
                <w:sz w:val="20"/>
                <w:szCs w:val="20"/>
              </w:rPr>
            </w:pPr>
            <w:r>
              <w:rPr>
                <w:rFonts w:ascii="Arial" w:hAnsi="Arial" w:cs="Arial"/>
                <w:b/>
                <w:sz w:val="20"/>
                <w:szCs w:val="20"/>
              </w:rPr>
              <w:t>12th</w:t>
            </w:r>
            <w:r w:rsidR="00DB6E1F">
              <w:rPr>
                <w:rFonts w:ascii="Arial" w:hAnsi="Arial" w:cs="Arial"/>
                <w:b/>
                <w:sz w:val="20"/>
                <w:szCs w:val="20"/>
              </w:rPr>
              <w:t xml:space="preserve"> </w:t>
            </w:r>
            <w:r>
              <w:rPr>
                <w:rFonts w:ascii="Arial" w:hAnsi="Arial" w:cs="Arial"/>
                <w:b/>
                <w:sz w:val="20"/>
                <w:szCs w:val="20"/>
              </w:rPr>
              <w:t xml:space="preserve">October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996043" w:rsidRPr="002D6834" w:rsidRDefault="002D6834" w:rsidP="00996043">
            <w:pPr>
              <w:rPr>
                <w:rFonts w:ascii="Arial" w:eastAsia="Arial Unicode MS" w:hAnsi="Arial" w:cs="Arial"/>
                <w:b/>
                <w:sz w:val="20"/>
                <w:szCs w:val="20"/>
                <w:lang w:val="en-US"/>
              </w:rPr>
            </w:pPr>
            <w:r w:rsidRPr="002D6834">
              <w:rPr>
                <w:rFonts w:ascii="Arial" w:eastAsia="Arial Unicode MS" w:hAnsi="Arial" w:cs="Arial"/>
                <w:b/>
                <w:sz w:val="20"/>
                <w:szCs w:val="20"/>
              </w:rPr>
              <w:t>RENOVATIONS TO SECURITY GUARD ROOMS AT SANDRINGHAM CAMPUS</w:t>
            </w:r>
          </w:p>
          <w:p w:rsidR="00B105BC" w:rsidRPr="00D263C8"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2D6834">
              <w:rPr>
                <w:rFonts w:ascii="Arial" w:hAnsi="Arial" w:cs="Arial"/>
                <w:b/>
                <w:sz w:val="20"/>
                <w:szCs w:val="20"/>
              </w:rPr>
              <w:t>19</w:t>
            </w:r>
            <w:r w:rsidR="002D6834">
              <w:rPr>
                <w:rFonts w:ascii="Arial" w:hAnsi="Arial" w:cs="Arial"/>
                <w:b/>
                <w:sz w:val="20"/>
                <w:szCs w:val="20"/>
                <w:vertAlign w:val="superscript"/>
              </w:rPr>
              <w:t xml:space="preserve">th </w:t>
            </w:r>
            <w:r w:rsidR="002D6834">
              <w:rPr>
                <w:rFonts w:ascii="Arial" w:hAnsi="Arial" w:cs="Arial"/>
                <w:b/>
                <w:sz w:val="20"/>
                <w:szCs w:val="20"/>
              </w:rPr>
              <w:t>OCTOBER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26555B">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26555B">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26555B">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26555B">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26555B">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26555B">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2D6834" w:rsidRPr="002D6834" w:rsidRDefault="002D6834" w:rsidP="002D6834">
      <w:pPr>
        <w:spacing w:line="360" w:lineRule="auto"/>
        <w:rPr>
          <w:rFonts w:ascii="Arial" w:eastAsia="Arial Unicode MS" w:hAnsi="Arial" w:cs="Arial"/>
          <w:bCs/>
          <w:sz w:val="20"/>
          <w:szCs w:val="20"/>
          <w:u w:val="single"/>
          <w:lang w:val="en-US"/>
        </w:rPr>
      </w:pPr>
      <w:r w:rsidRPr="002D6834">
        <w:rPr>
          <w:rFonts w:ascii="Arial" w:eastAsia="Arial Unicode MS" w:hAnsi="Arial" w:cs="Arial"/>
          <w:bCs/>
          <w:sz w:val="20"/>
          <w:szCs w:val="20"/>
          <w:u w:val="single"/>
          <w:lang w:val="en-US"/>
        </w:rPr>
        <w:t>FORM OF QUOTATION</w:t>
      </w:r>
    </w:p>
    <w:p w:rsidR="002D6834" w:rsidRPr="002D6834" w:rsidRDefault="002D6834" w:rsidP="002D6834">
      <w:pPr>
        <w:spacing w:line="360" w:lineRule="auto"/>
        <w:ind w:left="1440" w:hanging="1440"/>
        <w:rPr>
          <w:rFonts w:ascii="Arial" w:eastAsia="Arial Unicode MS" w:hAnsi="Arial" w:cs="Arial"/>
          <w:bCs/>
          <w:sz w:val="20"/>
          <w:szCs w:val="20"/>
          <w:u w:val="single"/>
          <w:lang w:val="en-US"/>
        </w:rPr>
      </w:pPr>
      <w:r w:rsidRPr="002D6834">
        <w:rPr>
          <w:rFonts w:ascii="Arial" w:eastAsia="Arial Unicode MS" w:hAnsi="Arial" w:cs="Arial"/>
          <w:bCs/>
          <w:sz w:val="20"/>
          <w:szCs w:val="20"/>
          <w:lang w:val="en-US"/>
        </w:rPr>
        <w:t xml:space="preserve">SUPPLIER: </w:t>
      </w:r>
      <w:r w:rsidRPr="002D6834">
        <w:rPr>
          <w:rFonts w:ascii="Arial" w:eastAsia="Arial Unicode MS" w:hAnsi="Arial" w:cs="Arial"/>
          <w:bCs/>
          <w:sz w:val="20"/>
          <w:szCs w:val="20"/>
          <w:u w:val="single"/>
          <w:lang w:val="en-US"/>
        </w:rPr>
        <w:t xml:space="preserve"> </w:t>
      </w:r>
    </w:p>
    <w:p w:rsidR="002D6834" w:rsidRPr="002D6834" w:rsidRDefault="002D6834" w:rsidP="002D6834">
      <w:pPr>
        <w:spacing w:line="360" w:lineRule="auto"/>
        <w:ind w:left="1440" w:hanging="1440"/>
        <w:rPr>
          <w:rFonts w:ascii="Arial" w:eastAsia="Arial Unicode MS" w:hAnsi="Arial" w:cs="Arial"/>
          <w:bCs/>
          <w:sz w:val="20"/>
          <w:szCs w:val="20"/>
          <w:lang w:val="en-US"/>
        </w:rPr>
      </w:pPr>
      <w:r w:rsidRPr="002D6834">
        <w:rPr>
          <w:rFonts w:ascii="Arial" w:eastAsia="Arial Unicode MS" w:hAnsi="Arial" w:cs="Arial"/>
          <w:bCs/>
          <w:sz w:val="20"/>
          <w:szCs w:val="20"/>
          <w:lang w:val="en-US"/>
        </w:rPr>
        <w:t xml:space="preserve">QUOTATION NO: </w:t>
      </w:r>
    </w:p>
    <w:p w:rsidR="002D6834" w:rsidRPr="002D6834" w:rsidRDefault="002D6834" w:rsidP="002D6834">
      <w:pPr>
        <w:ind w:left="2880" w:hanging="2880"/>
        <w:rPr>
          <w:rFonts w:ascii="Arial" w:eastAsia="Arial Unicode MS" w:hAnsi="Arial" w:cs="Arial"/>
          <w:sz w:val="20"/>
          <w:szCs w:val="20"/>
          <w:lang w:val="en-US"/>
        </w:rPr>
      </w:pPr>
      <w:r w:rsidRPr="002D6834">
        <w:rPr>
          <w:rFonts w:ascii="Arial" w:eastAsia="Arial Unicode MS" w:hAnsi="Arial" w:cs="Arial"/>
          <w:bCs/>
          <w:sz w:val="20"/>
          <w:szCs w:val="20"/>
          <w:lang w:val="en-US"/>
        </w:rPr>
        <w:t>DESCRIPTION:</w:t>
      </w:r>
      <w:r w:rsidRPr="002D6834">
        <w:rPr>
          <w:rFonts w:ascii="Arial" w:eastAsia="Arial Unicode MS" w:hAnsi="Arial" w:cs="Arial"/>
          <w:sz w:val="20"/>
          <w:szCs w:val="20"/>
          <w:lang w:val="en-US"/>
        </w:rPr>
        <w:t xml:space="preserve"> RENOVATIONS TO SECURITY GUARD ROOMS AT SANDRINGHAM CAMPUS</w:t>
      </w:r>
    </w:p>
    <w:p w:rsidR="002D6834" w:rsidRPr="002D6834" w:rsidRDefault="002D6834" w:rsidP="002D6834">
      <w:pPr>
        <w:ind w:left="2880" w:hanging="2880"/>
        <w:rPr>
          <w:rFonts w:ascii="Arial" w:eastAsia="Arial Unicode MS" w:hAnsi="Arial" w:cs="Arial"/>
          <w:sz w:val="20"/>
          <w:szCs w:val="20"/>
          <w:lang w:val="en-US"/>
        </w:rPr>
      </w:pPr>
    </w:p>
    <w:tbl>
      <w:tblPr>
        <w:tblpPr w:leftFromText="180" w:rightFromText="180" w:vertAnchor="text" w:horzAnchor="page" w:tblpX="418" w:tblpY="267"/>
        <w:tblW w:w="1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5710"/>
        <w:gridCol w:w="602"/>
        <w:gridCol w:w="876"/>
        <w:gridCol w:w="1665"/>
        <w:gridCol w:w="1826"/>
      </w:tblGrid>
      <w:tr w:rsidR="002D6834" w:rsidRPr="002D6834" w:rsidTr="002D6834">
        <w:trPr>
          <w:trHeight w:val="379"/>
        </w:trPr>
        <w:tc>
          <w:tcPr>
            <w:tcW w:w="608"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NO</w:t>
            </w:r>
          </w:p>
        </w:tc>
        <w:tc>
          <w:tcPr>
            <w:tcW w:w="5710"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Description</w:t>
            </w:r>
          </w:p>
        </w:tc>
        <w:tc>
          <w:tcPr>
            <w:tcW w:w="602" w:type="dxa"/>
          </w:tcPr>
          <w:p w:rsidR="002D6834" w:rsidRPr="002D6834" w:rsidRDefault="002D6834" w:rsidP="002D6834">
            <w:pPr>
              <w:jc w:val="center"/>
              <w:rPr>
                <w:rFonts w:ascii="Arial" w:eastAsia="Arial Unicode MS" w:hAnsi="Arial" w:cs="Arial"/>
                <w:b/>
                <w:sz w:val="20"/>
                <w:szCs w:val="20"/>
                <w:lang w:val="en-US"/>
              </w:rPr>
            </w:pPr>
            <w:r w:rsidRPr="002D6834">
              <w:rPr>
                <w:rFonts w:ascii="Arial" w:eastAsia="Arial Unicode MS" w:hAnsi="Arial" w:cs="Arial"/>
                <w:b/>
                <w:sz w:val="20"/>
                <w:szCs w:val="20"/>
                <w:lang w:val="en-US"/>
              </w:rPr>
              <w:t>unit</w:t>
            </w:r>
          </w:p>
        </w:tc>
        <w:tc>
          <w:tcPr>
            <w:tcW w:w="876"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quantity</w:t>
            </w:r>
          </w:p>
        </w:tc>
        <w:tc>
          <w:tcPr>
            <w:tcW w:w="1665"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rate</w:t>
            </w:r>
          </w:p>
        </w:tc>
        <w:tc>
          <w:tcPr>
            <w:tcW w:w="1826"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Cost excl vat</w:t>
            </w: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p>
        </w:tc>
        <w:tc>
          <w:tcPr>
            <w:tcW w:w="5710" w:type="dxa"/>
          </w:tcPr>
          <w:p w:rsidR="002D6834" w:rsidRPr="002D6834" w:rsidRDefault="002D6834" w:rsidP="002D6834">
            <w:pPr>
              <w:rPr>
                <w:rFonts w:ascii="Arial" w:eastAsia="Arial Unicode MS" w:hAnsi="Arial" w:cs="Arial"/>
                <w:b/>
                <w:sz w:val="20"/>
                <w:szCs w:val="20"/>
                <w:lang w:val="en-US"/>
              </w:rPr>
            </w:pPr>
          </w:p>
        </w:tc>
        <w:tc>
          <w:tcPr>
            <w:tcW w:w="602" w:type="dxa"/>
          </w:tcPr>
          <w:p w:rsidR="002D6834" w:rsidRPr="002D6834" w:rsidRDefault="002D6834" w:rsidP="002D6834">
            <w:pPr>
              <w:jc w:val="center"/>
              <w:rPr>
                <w:rFonts w:ascii="Arial" w:eastAsia="Arial Unicode MS" w:hAnsi="Arial" w:cs="Arial"/>
                <w:sz w:val="20"/>
                <w:szCs w:val="20"/>
                <w:lang w:val="en-US"/>
              </w:rPr>
            </w:pPr>
          </w:p>
        </w:tc>
        <w:tc>
          <w:tcPr>
            <w:tcW w:w="876" w:type="dxa"/>
          </w:tcPr>
          <w:p w:rsidR="002D6834" w:rsidRPr="002D6834" w:rsidRDefault="002D6834" w:rsidP="002D6834">
            <w:pPr>
              <w:rPr>
                <w:rFonts w:ascii="Arial" w:eastAsia="Arial Unicode MS" w:hAnsi="Arial" w:cs="Arial"/>
                <w:sz w:val="20"/>
                <w:szCs w:val="20"/>
                <w:lang w:val="en-US"/>
              </w:rPr>
            </w:pP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5710"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Remove the existing damaged ceiling board and cart away, supply and fit ceiling boards complete with new brandings, quarter round including the overhang ceiling and trap door as per specifications</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24</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5710"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 xml:space="preserve">Prepare and fix the ceiling cornice and supply the missing </w:t>
            </w:r>
          </w:p>
        </w:tc>
        <w:tc>
          <w:tcPr>
            <w:tcW w:w="602" w:type="dxa"/>
          </w:tcPr>
          <w:p w:rsidR="002D6834" w:rsidRPr="002D6834" w:rsidRDefault="002D6834" w:rsidP="002D6834">
            <w:pPr>
              <w:jc w:val="center"/>
              <w:rPr>
                <w:rFonts w:ascii="Arial" w:eastAsia="Arial Unicode MS" w:hAnsi="Arial" w:cs="Arial"/>
                <w:sz w:val="20"/>
                <w:szCs w:val="20"/>
                <w:lang w:val="en-US"/>
              </w:rPr>
            </w:pP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item</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5710" w:type="dxa"/>
          </w:tcPr>
          <w:p w:rsidR="002D6834" w:rsidRPr="002D6834" w:rsidRDefault="002D6834" w:rsidP="002D6834">
            <w:pPr>
              <w:rPr>
                <w:rFonts w:ascii="Arial" w:hAnsi="Arial" w:cs="Arial"/>
                <w:color w:val="000000"/>
                <w:sz w:val="20"/>
                <w:szCs w:val="20"/>
                <w:lang w:val="en-US"/>
              </w:rPr>
            </w:pPr>
            <w:r w:rsidRPr="002D6834">
              <w:rPr>
                <w:rFonts w:ascii="Arial" w:eastAsia="Arial Unicode MS" w:hAnsi="Arial" w:cs="Arial"/>
                <w:sz w:val="20"/>
                <w:szCs w:val="20"/>
                <w:lang w:val="en-US"/>
              </w:rPr>
              <w:t>Prepare and paint walls with plascon Velvaglo or similar 2 coats as per specifications to match the existing colour in and out</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252</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4</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sz w:val="20"/>
                <w:szCs w:val="20"/>
                <w:lang w:val="en-US"/>
              </w:rPr>
              <w:t>Prepare and paint ceiling with plascon Velvaglo or similar white 2 coats as per specifications</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80</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5</w:t>
            </w:r>
          </w:p>
        </w:tc>
        <w:tc>
          <w:tcPr>
            <w:tcW w:w="5710" w:type="dxa"/>
          </w:tcPr>
          <w:p w:rsidR="002D6834" w:rsidRPr="002D6834" w:rsidRDefault="002D6834" w:rsidP="002D6834">
            <w:pPr>
              <w:rPr>
                <w:rFonts w:ascii="Arial" w:eastAsia="Arial Unicode MS" w:hAnsi="Arial" w:cs="Arial"/>
                <w:color w:val="000000"/>
                <w:sz w:val="20"/>
                <w:szCs w:val="20"/>
                <w:lang w:val="en-US"/>
              </w:rPr>
            </w:pPr>
            <w:r w:rsidRPr="002D6834">
              <w:rPr>
                <w:rFonts w:ascii="Arial" w:hAnsi="Arial" w:cs="Arial"/>
                <w:sz w:val="20"/>
                <w:szCs w:val="20"/>
                <w:lang w:val="en-US"/>
              </w:rPr>
              <w:t>Prepare and sand down wooden beam with P 100 sandpaper on both sides, , prepare and varnish 2 coats clear similar or equal to Dulux Woodgard double life Timber varnish,  as per specification</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11</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6</w:t>
            </w:r>
          </w:p>
        </w:tc>
        <w:tc>
          <w:tcPr>
            <w:tcW w:w="5710" w:type="dxa"/>
          </w:tcPr>
          <w:p w:rsidR="002D6834" w:rsidRPr="002D6834" w:rsidRDefault="002D6834" w:rsidP="002D6834">
            <w:pPr>
              <w:rPr>
                <w:rFonts w:ascii="Arial" w:eastAsia="Arial Unicode MS" w:hAnsi="Arial" w:cs="Arial"/>
                <w:color w:val="000000"/>
                <w:sz w:val="20"/>
                <w:szCs w:val="20"/>
                <w:lang w:val="en-US"/>
              </w:rPr>
            </w:pPr>
            <w:r w:rsidRPr="002D6834">
              <w:rPr>
                <w:rFonts w:ascii="Arial" w:eastAsia="Arial Unicode MS" w:hAnsi="Arial" w:cs="Arial"/>
                <w:color w:val="000000"/>
                <w:sz w:val="20"/>
                <w:szCs w:val="20"/>
                <w:lang w:val="en-US"/>
              </w:rPr>
              <w:t>Prepare and paint steel door frame 2 white enamel coats and prepare and varnish 2 coat of clear varnish to the wooden doors as per specification</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4</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7</w:t>
            </w:r>
          </w:p>
        </w:tc>
        <w:tc>
          <w:tcPr>
            <w:tcW w:w="5710" w:type="dxa"/>
          </w:tcPr>
          <w:p w:rsidR="002D6834" w:rsidRPr="002D6834" w:rsidRDefault="002D6834" w:rsidP="002D6834">
            <w:pPr>
              <w:rPr>
                <w:rFonts w:ascii="Arial" w:eastAsia="Arial Unicode MS" w:hAnsi="Arial" w:cs="Arial"/>
                <w:color w:val="000000"/>
                <w:sz w:val="20"/>
                <w:szCs w:val="20"/>
                <w:lang w:val="en-US"/>
              </w:rPr>
            </w:pPr>
            <w:r w:rsidRPr="002D6834">
              <w:rPr>
                <w:rFonts w:ascii="Arial" w:eastAsia="Arial Unicode MS" w:hAnsi="Arial" w:cs="Arial"/>
                <w:color w:val="000000"/>
                <w:sz w:val="20"/>
                <w:szCs w:val="20"/>
                <w:lang w:val="en-US"/>
              </w:rPr>
              <w:t>Prepare and paint steel door and frames 2 white enamel coats as per specification</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8</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color w:val="000000"/>
                <w:sz w:val="20"/>
                <w:szCs w:val="20"/>
                <w:lang w:val="en-US"/>
              </w:rPr>
              <w:t>Prepare and paint steel window 2 white enamel coats as per specification</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14</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9</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color w:val="000000"/>
                <w:sz w:val="20"/>
                <w:szCs w:val="20"/>
                <w:lang w:val="en-US"/>
              </w:rPr>
              <w:t>Prepare and paint doors 2 white enamel coats as per specification</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10</w:t>
            </w:r>
          </w:p>
        </w:tc>
        <w:tc>
          <w:tcPr>
            <w:tcW w:w="5710" w:type="dxa"/>
          </w:tcPr>
          <w:p w:rsidR="002D6834" w:rsidRPr="002D6834" w:rsidRDefault="002D6834" w:rsidP="002D6834">
            <w:pPr>
              <w:rPr>
                <w:rFonts w:ascii="Arial" w:eastAsia="Arial Unicode MS" w:hAnsi="Arial" w:cs="Arial"/>
                <w:color w:val="000000"/>
                <w:sz w:val="20"/>
                <w:szCs w:val="20"/>
                <w:lang w:val="en-US"/>
              </w:rPr>
            </w:pPr>
            <w:r w:rsidRPr="002D6834">
              <w:rPr>
                <w:rFonts w:ascii="Arial" w:eastAsia="Arial Unicode MS" w:hAnsi="Arial" w:cs="Arial"/>
                <w:color w:val="000000"/>
                <w:sz w:val="20"/>
                <w:szCs w:val="20"/>
                <w:lang w:val="en-US"/>
              </w:rPr>
              <w:t>Prepare and paint steel roof sheets 2 coats for roof paint as per specification to match the existing colour</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226</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11</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color w:val="000000"/>
                <w:sz w:val="20"/>
                <w:szCs w:val="20"/>
                <w:lang w:val="en-US"/>
              </w:rPr>
              <w:t>Prepare and paint 110mm round 4000mm high steel supporting pipes 2 enamel coats as per specification to match the existing colour</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22</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12</w:t>
            </w:r>
          </w:p>
        </w:tc>
        <w:tc>
          <w:tcPr>
            <w:tcW w:w="5710" w:type="dxa"/>
          </w:tcPr>
          <w:p w:rsidR="002D6834" w:rsidRPr="002D6834" w:rsidRDefault="002D6834" w:rsidP="002D6834">
            <w:pPr>
              <w:rPr>
                <w:rFonts w:ascii="Arial" w:hAnsi="Arial" w:cs="Arial"/>
                <w:b/>
                <w:color w:val="000000"/>
                <w:sz w:val="20"/>
                <w:szCs w:val="20"/>
                <w:lang w:val="en-US"/>
              </w:rPr>
            </w:pPr>
            <w:r w:rsidRPr="002D6834">
              <w:rPr>
                <w:rFonts w:ascii="Arial" w:eastAsia="Arial Unicode MS" w:hAnsi="Arial" w:cs="Arial"/>
                <w:color w:val="000000" w:themeColor="text1"/>
                <w:sz w:val="20"/>
                <w:szCs w:val="20"/>
                <w:lang w:val="en-US"/>
              </w:rPr>
              <w:t xml:space="preserve">Remove the existing damaged wooden door and cart away, Supply and fit new solid meranti wooden door three leaver  locks set to match the existing and varnish 2 coat of leather guard wood varnish to </w:t>
            </w:r>
            <w:r w:rsidRPr="002D6834">
              <w:rPr>
                <w:rFonts w:ascii="Arial" w:eastAsia="Arial Unicode MS" w:hAnsi="Arial" w:cs="Arial"/>
                <w:b/>
                <w:color w:val="000000" w:themeColor="text1"/>
                <w:sz w:val="20"/>
                <w:szCs w:val="20"/>
                <w:lang w:val="en-US"/>
              </w:rPr>
              <w:t>kitchen area</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13</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sz w:val="20"/>
                <w:szCs w:val="20"/>
                <w:lang w:val="en-US"/>
              </w:rPr>
              <w:t>Remove the existing wooden cupboards, heaters, and cart away</w:t>
            </w:r>
          </w:p>
        </w:tc>
        <w:tc>
          <w:tcPr>
            <w:tcW w:w="602" w:type="dxa"/>
          </w:tcPr>
          <w:p w:rsidR="002D6834" w:rsidRPr="002D6834" w:rsidRDefault="002D6834" w:rsidP="002D6834">
            <w:pPr>
              <w:jc w:val="center"/>
              <w:rPr>
                <w:rFonts w:ascii="Arial" w:eastAsia="Arial Unicode MS" w:hAnsi="Arial" w:cs="Arial"/>
                <w:sz w:val="20"/>
                <w:szCs w:val="20"/>
                <w:lang w:val="en-US"/>
              </w:rPr>
            </w:pP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item</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14</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color w:val="000000"/>
                <w:sz w:val="20"/>
                <w:szCs w:val="20"/>
                <w:lang w:val="en-US"/>
              </w:rPr>
              <w:t>Supply and fit microwave shelve to accommodate 42L microwave</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15</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color w:val="000000"/>
                <w:sz w:val="20"/>
                <w:szCs w:val="20"/>
                <w:lang w:val="en-US"/>
              </w:rPr>
              <w:t>Supply and fit new under bench cupboards, 900</w:t>
            </w:r>
            <w:r w:rsidRPr="002D6834">
              <w:rPr>
                <w:rFonts w:ascii="Arial" w:eastAsia="Arial Unicode MS" w:hAnsi="Arial" w:cs="Arial"/>
                <w:color w:val="000000"/>
                <w:sz w:val="20"/>
                <w:szCs w:val="20"/>
                <w:vertAlign w:val="superscript"/>
                <w:lang w:val="en-US"/>
              </w:rPr>
              <w:t>mm</w:t>
            </w:r>
            <w:r w:rsidRPr="002D6834">
              <w:rPr>
                <w:rFonts w:ascii="Arial" w:eastAsia="Arial Unicode MS" w:hAnsi="Arial" w:cs="Arial"/>
                <w:color w:val="000000"/>
                <w:sz w:val="20"/>
                <w:szCs w:val="20"/>
                <w:lang w:val="en-US"/>
              </w:rPr>
              <w:t xml:space="preserve"> wide x750</w:t>
            </w:r>
            <w:r w:rsidRPr="002D6834">
              <w:rPr>
                <w:rFonts w:ascii="Arial" w:eastAsia="Arial Unicode MS" w:hAnsi="Arial" w:cs="Arial"/>
                <w:color w:val="000000"/>
                <w:sz w:val="20"/>
                <w:szCs w:val="20"/>
                <w:vertAlign w:val="superscript"/>
                <w:lang w:val="en-US"/>
              </w:rPr>
              <w:t>mm</w:t>
            </w:r>
            <w:r w:rsidRPr="002D6834">
              <w:rPr>
                <w:rFonts w:ascii="Arial" w:eastAsia="Arial Unicode MS" w:hAnsi="Arial" w:cs="Arial"/>
                <w:color w:val="000000"/>
                <w:sz w:val="20"/>
                <w:szCs w:val="20"/>
                <w:lang w:val="en-US"/>
              </w:rPr>
              <w:t xml:space="preserve"> with doors, hinges and handles with oak finish</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16</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color w:val="000000"/>
                <w:sz w:val="20"/>
                <w:szCs w:val="20"/>
                <w:lang w:val="en-US"/>
              </w:rPr>
              <w:t>Supply and fit new under bench cupboards, 750</w:t>
            </w:r>
            <w:r w:rsidRPr="002D6834">
              <w:rPr>
                <w:rFonts w:ascii="Arial" w:eastAsia="Arial Unicode MS" w:hAnsi="Arial" w:cs="Arial"/>
                <w:color w:val="000000"/>
                <w:sz w:val="20"/>
                <w:szCs w:val="20"/>
                <w:vertAlign w:val="superscript"/>
                <w:lang w:val="en-US"/>
              </w:rPr>
              <w:t>mm</w:t>
            </w:r>
            <w:r w:rsidRPr="002D6834">
              <w:rPr>
                <w:rFonts w:ascii="Arial" w:eastAsia="Arial Unicode MS" w:hAnsi="Arial" w:cs="Arial"/>
                <w:color w:val="000000"/>
                <w:sz w:val="20"/>
                <w:szCs w:val="20"/>
                <w:lang w:val="en-US"/>
              </w:rPr>
              <w:t xml:space="preserve"> wide x698</w:t>
            </w:r>
            <w:r w:rsidRPr="002D6834">
              <w:rPr>
                <w:rFonts w:ascii="Arial" w:eastAsia="Arial Unicode MS" w:hAnsi="Arial" w:cs="Arial"/>
                <w:color w:val="000000"/>
                <w:sz w:val="20"/>
                <w:szCs w:val="20"/>
                <w:vertAlign w:val="superscript"/>
                <w:lang w:val="en-US"/>
              </w:rPr>
              <w:t>mm</w:t>
            </w:r>
            <w:r w:rsidRPr="002D6834">
              <w:rPr>
                <w:rFonts w:ascii="Arial" w:eastAsia="Arial Unicode MS" w:hAnsi="Arial" w:cs="Arial"/>
                <w:color w:val="000000"/>
                <w:sz w:val="20"/>
                <w:szCs w:val="20"/>
                <w:lang w:val="en-US"/>
              </w:rPr>
              <w:t xml:space="preserve">  with drawers and handles with oak finish</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17</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color w:val="000000"/>
                <w:sz w:val="20"/>
                <w:szCs w:val="20"/>
                <w:lang w:val="en-US"/>
              </w:rPr>
              <w:t>Supply and fit new wall cupboards, 750</w:t>
            </w:r>
            <w:r w:rsidRPr="002D6834">
              <w:rPr>
                <w:rFonts w:ascii="Arial" w:eastAsia="Arial Unicode MS" w:hAnsi="Arial" w:cs="Arial"/>
                <w:color w:val="000000"/>
                <w:sz w:val="20"/>
                <w:szCs w:val="20"/>
                <w:vertAlign w:val="superscript"/>
                <w:lang w:val="en-US"/>
              </w:rPr>
              <w:t>mm</w:t>
            </w:r>
            <w:r w:rsidRPr="002D6834">
              <w:rPr>
                <w:rFonts w:ascii="Arial" w:eastAsia="Arial Unicode MS" w:hAnsi="Arial" w:cs="Arial"/>
                <w:color w:val="000000"/>
                <w:sz w:val="20"/>
                <w:szCs w:val="20"/>
                <w:lang w:val="en-US"/>
              </w:rPr>
              <w:t xml:space="preserve"> wide x 698</w:t>
            </w:r>
            <w:r w:rsidRPr="002D6834">
              <w:rPr>
                <w:rFonts w:ascii="Arial" w:eastAsia="Arial Unicode MS" w:hAnsi="Arial" w:cs="Arial"/>
                <w:color w:val="000000"/>
                <w:sz w:val="20"/>
                <w:szCs w:val="20"/>
                <w:vertAlign w:val="superscript"/>
                <w:lang w:val="en-US"/>
              </w:rPr>
              <w:t>mm</w:t>
            </w:r>
            <w:r w:rsidRPr="002D6834">
              <w:rPr>
                <w:rFonts w:ascii="Arial" w:eastAsia="Arial Unicode MS" w:hAnsi="Arial" w:cs="Arial"/>
                <w:color w:val="000000"/>
                <w:sz w:val="20"/>
                <w:szCs w:val="20"/>
                <w:lang w:val="en-US"/>
              </w:rPr>
              <w:t xml:space="preserve"> with doors, hinges and handles with oak finish</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18</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color w:val="000000"/>
                <w:sz w:val="20"/>
                <w:szCs w:val="20"/>
                <w:lang w:val="en-US"/>
              </w:rPr>
              <w:t>Supply and fit 32</w:t>
            </w:r>
            <w:r w:rsidRPr="002D6834">
              <w:rPr>
                <w:rFonts w:ascii="Arial" w:eastAsia="Arial Unicode MS" w:hAnsi="Arial" w:cs="Arial"/>
                <w:color w:val="000000"/>
                <w:sz w:val="20"/>
                <w:szCs w:val="20"/>
                <w:vertAlign w:val="superscript"/>
                <w:lang w:val="en-US"/>
              </w:rPr>
              <w:t>mm</w:t>
            </w:r>
            <w:r w:rsidRPr="002D6834">
              <w:rPr>
                <w:rFonts w:ascii="Arial" w:eastAsia="Arial Unicode MS" w:hAnsi="Arial" w:cs="Arial"/>
                <w:color w:val="000000"/>
                <w:sz w:val="20"/>
                <w:szCs w:val="20"/>
                <w:lang w:val="en-US"/>
              </w:rPr>
              <w:t>x600</w:t>
            </w:r>
            <w:r w:rsidRPr="002D6834">
              <w:rPr>
                <w:rFonts w:ascii="Arial" w:eastAsia="Arial Unicode MS" w:hAnsi="Arial" w:cs="Arial"/>
                <w:color w:val="000000"/>
                <w:sz w:val="20"/>
                <w:szCs w:val="20"/>
                <w:vertAlign w:val="superscript"/>
                <w:lang w:val="en-US"/>
              </w:rPr>
              <w:t>mm</w:t>
            </w:r>
            <w:r w:rsidRPr="002D6834">
              <w:rPr>
                <w:rFonts w:ascii="Arial" w:eastAsia="Arial Unicode MS" w:hAnsi="Arial" w:cs="Arial"/>
                <w:color w:val="000000"/>
                <w:sz w:val="20"/>
                <w:szCs w:val="20"/>
                <w:lang w:val="en-US"/>
              </w:rPr>
              <w:t xml:space="preserve"> wide kitchen Formica top to the kitchen area</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5</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19</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sz w:val="20"/>
                <w:szCs w:val="20"/>
                <w:lang w:val="en-US"/>
              </w:rPr>
              <w:t>Supply and fit 1160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 xml:space="preserve"> x 500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 xml:space="preserve"> drop-in stainless steel double bowl sink, connect to water supply and drainage, supply and fit swivel sink mixer, with a splash back tiles above sink and around the top</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20</w:t>
            </w:r>
          </w:p>
        </w:tc>
        <w:tc>
          <w:tcPr>
            <w:tcW w:w="5710" w:type="dxa"/>
          </w:tcPr>
          <w:p w:rsidR="002D6834" w:rsidRPr="002D6834" w:rsidRDefault="002D6834" w:rsidP="002D6834">
            <w:pPr>
              <w:rPr>
                <w:rFonts w:ascii="Arial" w:eastAsia="Arial Unicode MS" w:hAnsi="Arial" w:cs="Arial"/>
                <w:color w:val="000000" w:themeColor="text1"/>
                <w:sz w:val="20"/>
                <w:szCs w:val="20"/>
                <w:lang w:val="en-US"/>
              </w:rPr>
            </w:pPr>
            <w:r w:rsidRPr="002D6834">
              <w:rPr>
                <w:rFonts w:ascii="Arial" w:eastAsia="Arial Unicode MS" w:hAnsi="Arial" w:cs="Arial"/>
                <w:sz w:val="20"/>
                <w:szCs w:val="20"/>
                <w:lang w:val="en-US"/>
              </w:rPr>
              <w:t>Supply and install 5L Hydro boil, install above sink, includes all connection to water supply and wired to the existing isolator.</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21</w:t>
            </w:r>
          </w:p>
        </w:tc>
        <w:tc>
          <w:tcPr>
            <w:tcW w:w="5710"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themeColor="text1"/>
                <w:sz w:val="20"/>
                <w:szCs w:val="20"/>
                <w:lang w:val="en-US"/>
              </w:rPr>
              <w:t xml:space="preserve">Remove the existing lock set, supply and fit new, three leaver  locks set to match the existing  and keys to </w:t>
            </w:r>
            <w:r w:rsidRPr="002D6834">
              <w:rPr>
                <w:rFonts w:ascii="Arial" w:eastAsia="Arial Unicode MS" w:hAnsi="Arial" w:cs="Arial"/>
                <w:b/>
                <w:color w:val="000000" w:themeColor="text1"/>
                <w:sz w:val="20"/>
                <w:szCs w:val="20"/>
                <w:lang w:val="en-US"/>
              </w:rPr>
              <w:t>toilets area</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22</w:t>
            </w:r>
          </w:p>
        </w:tc>
        <w:tc>
          <w:tcPr>
            <w:tcW w:w="5710"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sz w:val="20"/>
                <w:szCs w:val="20"/>
                <w:lang w:val="en-US"/>
              </w:rPr>
              <w:t>Remove the existing floor tiles and cart away, Supply and fit 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x10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 xml:space="preserve"> non slippery ceramic “A grade” floor tiles using tile cement and light grey grouting</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80</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23</w:t>
            </w:r>
          </w:p>
        </w:tc>
        <w:tc>
          <w:tcPr>
            <w:tcW w:w="5710"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sz w:val="20"/>
                <w:szCs w:val="20"/>
                <w:lang w:val="en-US"/>
              </w:rPr>
              <w:t>Supply and fit 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x10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 xml:space="preserve"> non slippery ceramic “A grade” floor tiles using tile cement and light grey grouting </w:t>
            </w:r>
          </w:p>
        </w:tc>
        <w:tc>
          <w:tcPr>
            <w:tcW w:w="602"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114</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p>
        </w:tc>
        <w:tc>
          <w:tcPr>
            <w:tcW w:w="5710"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 xml:space="preserve">gents Toilets </w:t>
            </w:r>
          </w:p>
        </w:tc>
        <w:tc>
          <w:tcPr>
            <w:tcW w:w="602" w:type="dxa"/>
          </w:tcPr>
          <w:p w:rsidR="002D6834" w:rsidRPr="002D6834" w:rsidRDefault="002D6834" w:rsidP="002D6834">
            <w:pPr>
              <w:jc w:val="center"/>
              <w:rPr>
                <w:rFonts w:ascii="Arial" w:eastAsia="Arial Unicode MS" w:hAnsi="Arial" w:cs="Arial"/>
                <w:sz w:val="20"/>
                <w:szCs w:val="20"/>
                <w:lang w:val="en-US"/>
              </w:rPr>
            </w:pPr>
          </w:p>
        </w:tc>
        <w:tc>
          <w:tcPr>
            <w:tcW w:w="876" w:type="dxa"/>
          </w:tcPr>
          <w:p w:rsidR="002D6834" w:rsidRPr="002D6834" w:rsidRDefault="002D6834" w:rsidP="002D6834">
            <w:pPr>
              <w:jc w:val="center"/>
              <w:rPr>
                <w:rFonts w:ascii="Arial" w:eastAsia="Arial Unicode MS" w:hAnsi="Arial" w:cs="Arial"/>
                <w:sz w:val="20"/>
                <w:szCs w:val="20"/>
                <w:lang w:val="en-US"/>
              </w:rPr>
            </w:pP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5710"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 xml:space="preserve">Remove the existing basin, Supply and fit new ceramic hand wash basins including taps, water pipes and drain pipes, connect to hot and cold water supply and drainage on ceramic pedestal  </w:t>
            </w:r>
          </w:p>
        </w:tc>
        <w:tc>
          <w:tcPr>
            <w:tcW w:w="602" w:type="dxa"/>
          </w:tcPr>
          <w:p w:rsidR="002D6834" w:rsidRPr="002D6834" w:rsidRDefault="002D6834" w:rsidP="002D6834">
            <w:pPr>
              <w:jc w:val="center"/>
              <w:rPr>
                <w:rFonts w:ascii="Arial" w:eastAsia="Arial Unicode MS" w:hAnsi="Arial" w:cs="Arial"/>
                <w:color w:val="000000" w:themeColor="text1"/>
                <w:sz w:val="20"/>
                <w:szCs w:val="20"/>
                <w:lang w:val="en-US"/>
              </w:rPr>
            </w:pPr>
            <w:r w:rsidRPr="002D6834">
              <w:rPr>
                <w:rFonts w:ascii="Arial" w:eastAsia="Arial Unicode MS" w:hAnsi="Arial" w:cs="Arial"/>
                <w:color w:val="000000" w:themeColor="text1"/>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5710"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Remove the existing toilets, cistern, basin and cart away ,Supply and fit new Ceramic toilet including cistern, toilet paper holder, toilet seat, connect to existing water and drain</w:t>
            </w:r>
          </w:p>
        </w:tc>
        <w:tc>
          <w:tcPr>
            <w:tcW w:w="602" w:type="dxa"/>
          </w:tcPr>
          <w:p w:rsidR="002D6834" w:rsidRPr="002D6834" w:rsidRDefault="002D6834" w:rsidP="002D6834">
            <w:pPr>
              <w:jc w:val="center"/>
              <w:rPr>
                <w:rFonts w:ascii="Arial" w:eastAsia="Arial Unicode MS" w:hAnsi="Arial" w:cs="Arial"/>
                <w:color w:val="000000" w:themeColor="text1"/>
                <w:sz w:val="20"/>
                <w:szCs w:val="20"/>
                <w:lang w:val="en-US"/>
              </w:rPr>
            </w:pPr>
            <w:r w:rsidRPr="002D6834">
              <w:rPr>
                <w:rFonts w:ascii="Arial" w:eastAsia="Arial Unicode MS" w:hAnsi="Arial" w:cs="Arial"/>
                <w:color w:val="000000" w:themeColor="text1"/>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5710" w:type="dxa"/>
          </w:tcPr>
          <w:p w:rsidR="002D6834" w:rsidRPr="002D6834" w:rsidRDefault="002D6834" w:rsidP="002D6834">
            <w:pPr>
              <w:rPr>
                <w:rFonts w:ascii="Arial" w:eastAsia="Arial Unicode MS" w:hAnsi="Arial" w:cs="Arial"/>
                <w:color w:val="000000"/>
                <w:sz w:val="20"/>
                <w:szCs w:val="20"/>
                <w:lang w:val="en-US"/>
              </w:rPr>
            </w:pPr>
            <w:r w:rsidRPr="002D6834">
              <w:rPr>
                <w:rFonts w:ascii="Arial" w:hAnsi="Arial" w:cs="Arial"/>
                <w:sz w:val="20"/>
                <w:szCs w:val="20"/>
                <w:lang w:val="en-US"/>
              </w:rPr>
              <w:t>Supply and fit new porcelain urinal with flush masters to each urinal and 5.8mm shatterproof frosted divider glass  , connect to existing water and drainage supply to male toilet</w:t>
            </w:r>
          </w:p>
        </w:tc>
        <w:tc>
          <w:tcPr>
            <w:tcW w:w="602" w:type="dxa"/>
          </w:tcPr>
          <w:p w:rsidR="002D6834" w:rsidRPr="002D6834" w:rsidRDefault="002D6834" w:rsidP="002D6834">
            <w:pPr>
              <w:jc w:val="center"/>
              <w:rPr>
                <w:rFonts w:ascii="Arial" w:eastAsia="Arial Unicode MS" w:hAnsi="Arial" w:cs="Arial"/>
                <w:color w:val="000000" w:themeColor="text1"/>
                <w:sz w:val="20"/>
                <w:szCs w:val="20"/>
                <w:lang w:val="en-US"/>
              </w:rPr>
            </w:pPr>
            <w:r w:rsidRPr="002D6834">
              <w:rPr>
                <w:rFonts w:ascii="Arial" w:eastAsia="Arial Unicode MS" w:hAnsi="Arial" w:cs="Arial"/>
                <w:color w:val="000000" w:themeColor="text1"/>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9"/>
        </w:trPr>
        <w:tc>
          <w:tcPr>
            <w:tcW w:w="608"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4</w:t>
            </w:r>
          </w:p>
        </w:tc>
        <w:tc>
          <w:tcPr>
            <w:tcW w:w="5710" w:type="dxa"/>
          </w:tcPr>
          <w:p w:rsidR="002D6834" w:rsidRPr="002D6834" w:rsidRDefault="002D6834" w:rsidP="002D6834">
            <w:pPr>
              <w:rPr>
                <w:rFonts w:ascii="Arial" w:eastAsia="Arial Unicode MS" w:hAnsi="Arial" w:cs="Arial"/>
                <w:sz w:val="20"/>
                <w:szCs w:val="20"/>
                <w:lang w:val="en-US"/>
              </w:rPr>
            </w:pPr>
            <w:r w:rsidRPr="002D6834">
              <w:rPr>
                <w:rFonts w:ascii="Arial" w:hAnsi="Arial" w:cs="Arial"/>
                <w:sz w:val="20"/>
                <w:szCs w:val="20"/>
                <w:lang w:val="en-US"/>
              </w:rPr>
              <w:t>Supply and fit 1000</w:t>
            </w:r>
            <w:r w:rsidRPr="002D6834">
              <w:rPr>
                <w:rFonts w:ascii="Arial" w:hAnsi="Arial" w:cs="Arial"/>
                <w:sz w:val="20"/>
                <w:szCs w:val="20"/>
                <w:vertAlign w:val="superscript"/>
                <w:lang w:val="en-US"/>
              </w:rPr>
              <w:t>mm</w:t>
            </w:r>
            <w:r w:rsidRPr="002D6834">
              <w:rPr>
                <w:rFonts w:ascii="Arial" w:hAnsi="Arial" w:cs="Arial"/>
                <w:sz w:val="20"/>
                <w:szCs w:val="20"/>
                <w:lang w:val="en-US"/>
              </w:rPr>
              <w:t xml:space="preserve"> x 600</w:t>
            </w:r>
            <w:r w:rsidRPr="002D6834">
              <w:rPr>
                <w:rFonts w:ascii="Arial" w:hAnsi="Arial" w:cs="Arial"/>
                <w:sz w:val="20"/>
                <w:szCs w:val="20"/>
                <w:vertAlign w:val="superscript"/>
                <w:lang w:val="en-US"/>
              </w:rPr>
              <w:t>mm</w:t>
            </w:r>
            <w:r w:rsidRPr="002D6834">
              <w:rPr>
                <w:rFonts w:ascii="Arial" w:hAnsi="Arial" w:cs="Arial"/>
                <w:sz w:val="20"/>
                <w:szCs w:val="20"/>
                <w:lang w:val="en-US"/>
              </w:rPr>
              <w:t xml:space="preserve"> mirror to male toilet with frame</w:t>
            </w:r>
          </w:p>
        </w:tc>
        <w:tc>
          <w:tcPr>
            <w:tcW w:w="602" w:type="dxa"/>
          </w:tcPr>
          <w:p w:rsidR="002D6834" w:rsidRPr="002D6834" w:rsidRDefault="002D6834" w:rsidP="002D6834">
            <w:pPr>
              <w:jc w:val="center"/>
              <w:rPr>
                <w:rFonts w:ascii="Arial" w:eastAsia="Arial Unicode MS" w:hAnsi="Arial" w:cs="Arial"/>
                <w:color w:val="000000" w:themeColor="text1"/>
                <w:sz w:val="20"/>
                <w:szCs w:val="20"/>
                <w:lang w:val="en-US"/>
              </w:rPr>
            </w:pPr>
            <w:r w:rsidRPr="002D6834">
              <w:rPr>
                <w:rFonts w:ascii="Arial" w:eastAsia="Arial Unicode MS" w:hAnsi="Arial" w:cs="Arial"/>
                <w:color w:val="000000" w:themeColor="text1"/>
                <w:sz w:val="20"/>
                <w:szCs w:val="20"/>
                <w:lang w:val="en-US"/>
              </w:rPr>
              <w:t>no</w:t>
            </w:r>
          </w:p>
        </w:tc>
        <w:tc>
          <w:tcPr>
            <w:tcW w:w="87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665" w:type="dxa"/>
          </w:tcPr>
          <w:p w:rsidR="002D6834" w:rsidRPr="002D6834" w:rsidRDefault="002D6834" w:rsidP="002D6834">
            <w:pPr>
              <w:rPr>
                <w:rFonts w:ascii="Arial" w:eastAsia="Arial Unicode MS" w:hAnsi="Arial" w:cs="Arial"/>
                <w:sz w:val="20"/>
                <w:szCs w:val="20"/>
                <w:lang w:val="en-US"/>
              </w:rPr>
            </w:pPr>
          </w:p>
        </w:tc>
        <w:tc>
          <w:tcPr>
            <w:tcW w:w="1826" w:type="dxa"/>
          </w:tcPr>
          <w:p w:rsidR="002D6834" w:rsidRPr="002D6834" w:rsidRDefault="002D6834" w:rsidP="002D6834">
            <w:pPr>
              <w:rPr>
                <w:rFonts w:ascii="Arial" w:eastAsia="Arial Unicode MS" w:hAnsi="Arial" w:cs="Arial"/>
                <w:sz w:val="20"/>
                <w:szCs w:val="20"/>
                <w:lang w:val="en-US"/>
              </w:rPr>
            </w:pPr>
          </w:p>
        </w:tc>
      </w:tr>
    </w:tbl>
    <w:p w:rsidR="002D6834" w:rsidRPr="002D6834" w:rsidRDefault="002D6834" w:rsidP="002D6834">
      <w:pPr>
        <w:tabs>
          <w:tab w:val="left" w:pos="1020"/>
        </w:tabs>
        <w:rPr>
          <w:rFonts w:ascii="Arial" w:eastAsia="Arial Unicode MS" w:hAnsi="Arial" w:cs="Arial"/>
          <w:sz w:val="20"/>
          <w:szCs w:val="20"/>
          <w:lang w:val="en-US"/>
        </w:rPr>
      </w:pPr>
    </w:p>
    <w:tbl>
      <w:tblPr>
        <w:tblpPr w:leftFromText="180" w:rightFromText="180" w:vertAnchor="text" w:horzAnchor="page" w:tblpX="418" w:tblpY="267"/>
        <w:tblW w:w="1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5609"/>
        <w:gridCol w:w="856"/>
        <w:gridCol w:w="921"/>
        <w:gridCol w:w="1504"/>
        <w:gridCol w:w="1641"/>
      </w:tblGrid>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Ladies toilet</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 xml:space="preserve">Remove the existing basin, Supply and fit new ceramic hand wash basins including taps, water pipes and drain pipes, connect to hot and cold water supply and drainage on ceramic pedestal  </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Remove the existing toilets, cistern, basin and cart away ,Supply and fit new Ceramic toilet including cistern, toilet paper holder, toilet seat, connect to existing water and drain</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hAnsi="Arial" w:cs="Arial"/>
                <w:sz w:val="20"/>
                <w:szCs w:val="20"/>
                <w:lang w:val="en-US"/>
              </w:rPr>
              <w:t>Supply and fit 1000</w:t>
            </w:r>
            <w:r w:rsidRPr="002D6834">
              <w:rPr>
                <w:rFonts w:ascii="Arial" w:hAnsi="Arial" w:cs="Arial"/>
                <w:sz w:val="20"/>
                <w:szCs w:val="20"/>
                <w:vertAlign w:val="superscript"/>
                <w:lang w:val="en-US"/>
              </w:rPr>
              <w:t>mm</w:t>
            </w:r>
            <w:r w:rsidRPr="002D6834">
              <w:rPr>
                <w:rFonts w:ascii="Arial" w:hAnsi="Arial" w:cs="Arial"/>
                <w:sz w:val="20"/>
                <w:szCs w:val="20"/>
                <w:lang w:val="en-US"/>
              </w:rPr>
              <w:t xml:space="preserve"> x 600</w:t>
            </w:r>
            <w:r w:rsidRPr="002D6834">
              <w:rPr>
                <w:rFonts w:ascii="Arial" w:hAnsi="Arial" w:cs="Arial"/>
                <w:sz w:val="20"/>
                <w:szCs w:val="20"/>
                <w:vertAlign w:val="superscript"/>
                <w:lang w:val="en-US"/>
              </w:rPr>
              <w:t>mm</w:t>
            </w:r>
            <w:r w:rsidRPr="002D6834">
              <w:rPr>
                <w:rFonts w:ascii="Arial" w:hAnsi="Arial" w:cs="Arial"/>
                <w:sz w:val="20"/>
                <w:szCs w:val="20"/>
                <w:lang w:val="en-US"/>
              </w:rPr>
              <w:t xml:space="preserve"> mirror to male toilet with frame</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 xml:space="preserve">Guard station at main gate </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Prepare and paint walls with plascon Velvaglo or similar 2 coats as per specifications to match the existing colour</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9</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Prepare and paint ceiling with plascon Velvaglo or similar white 2 coats as per specifications</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4</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Prepare and paint steel window 2 white enamel coats as per specification</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4</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Prepare and paint steel door 2 white enamel coats as per specification</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b/>
                <w:sz w:val="20"/>
                <w:szCs w:val="20"/>
                <w:lang w:val="en-US"/>
              </w:rPr>
              <w:t>Guard station at delivery gate</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Prepare and paint walls with plascon Velvaglo or similar 2 coats as per specifications to match the existing colour</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12</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Prepare and paint ceiling with plascon Velvaglo or similar white 2 coats as per specifications</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4</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Prepare and paint steel window 2 white enamel coats as per specification</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4</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Prepare and paint steel door 2 white enamel coats as per specification</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5</w:t>
            </w: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sz w:val="20"/>
                <w:szCs w:val="20"/>
                <w:lang w:val="en-US"/>
              </w:rPr>
              <w:t>Remove the existing floor tiles and cart away, Supply and fit 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x10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 xml:space="preserve"> non slippery ceramic “A grade” floor tiles using tile cement and light grey grouting</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4</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6</w:t>
            </w: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sz w:val="20"/>
                <w:szCs w:val="20"/>
                <w:lang w:val="en-US"/>
              </w:rPr>
              <w:t>Supply and fit 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x10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 xml:space="preserve"> non slippery ceramic “A grade” floor tiles using tile cement and light grey grouting</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6</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Toilet at delivery gate</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 xml:space="preserve">Remove the existing basin, Supply and fit new ceramic hand wash basins including taps, water pipes and drain pipes, connect to hot and cold water supply and drainage on ceramic pedestal  </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Remove the existing toilets, cistern, basin and cart away ,Supply and fit new Ceramic toilet including cistern, toilet paper holder, toilet seat, connect to existing water and drain</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Prepare and paint walls with plascon Velvaglo or similar white 2 coats as per specifications</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7</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4</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Prepare and paint ceiling with plascon Velvaglo or similar white 2 coats as per specifications</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5</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Prepare and paint steel window 2 white enamel coats as per specification</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6</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Prepare and paint steel door 2 white enamel coats as per specification</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no</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7</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Supply and fit 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x10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 xml:space="preserve"> non slippery ceramic “A grade” floor tiles using tile cement and light grey grouting</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8</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Supply and fit 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x600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x10</w:t>
            </w:r>
            <w:r w:rsidRPr="002D6834">
              <w:rPr>
                <w:rFonts w:ascii="Arial" w:eastAsia="Arial Unicode MS" w:hAnsi="Arial" w:cs="Arial"/>
                <w:sz w:val="20"/>
                <w:szCs w:val="20"/>
                <w:vertAlign w:val="superscript"/>
                <w:lang w:val="en-US"/>
              </w:rPr>
              <w:t>mm</w:t>
            </w:r>
            <w:r w:rsidRPr="002D6834">
              <w:rPr>
                <w:rFonts w:ascii="Arial" w:eastAsia="Arial Unicode MS" w:hAnsi="Arial" w:cs="Arial"/>
                <w:sz w:val="20"/>
                <w:szCs w:val="20"/>
                <w:lang w:val="en-US"/>
              </w:rPr>
              <w:t xml:space="preserve"> non slippery ceramic “A grade” floor tiles using tile cement and light grey grouting</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5</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b/>
                <w:sz w:val="20"/>
                <w:szCs w:val="20"/>
                <w:lang w:val="en-US"/>
              </w:rPr>
              <w:t xml:space="preserve">Main gate </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1</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Prepare and paint steel main arch with enamel plascon or similar 2 coats as per specifications to match the existing colour</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item</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2</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Prepare and paint steel palisade fencing 2 coats of enamel as per specification to match the existing colour</w:t>
            </w:r>
          </w:p>
        </w:tc>
        <w:tc>
          <w:tcPr>
            <w:tcW w:w="856"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m</w:t>
            </w:r>
            <w:r w:rsidRPr="002D6834">
              <w:rPr>
                <w:rFonts w:ascii="Arial" w:eastAsia="Arial Unicode MS" w:hAnsi="Arial" w:cs="Arial"/>
                <w:sz w:val="20"/>
                <w:szCs w:val="20"/>
                <w:vertAlign w:val="superscript"/>
                <w:lang w:val="en-US"/>
              </w:rPr>
              <w:t>2</w:t>
            </w: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26</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3</w:t>
            </w: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color w:val="000000"/>
                <w:sz w:val="20"/>
                <w:szCs w:val="20"/>
                <w:lang w:val="en-US"/>
              </w:rPr>
              <w:t>Prepare and paint steel swing gate 2 coats of enamel as per specification to match the existing colour</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r w:rsidRPr="002D6834">
              <w:rPr>
                <w:rFonts w:ascii="Arial" w:eastAsia="Arial Unicode MS" w:hAnsi="Arial" w:cs="Arial"/>
                <w:sz w:val="20"/>
                <w:szCs w:val="20"/>
                <w:lang w:val="en-US"/>
              </w:rPr>
              <w:t>item</w:t>
            </w: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sz w:val="20"/>
                <w:szCs w:val="20"/>
                <w:lang w:val="en-US"/>
              </w:rPr>
            </w:pP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sz w:val="20"/>
                <w:szCs w:val="20"/>
                <w:lang w:val="en-US"/>
              </w:rPr>
            </w:pP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sz w:val="20"/>
                <w:szCs w:val="20"/>
                <w:lang w:val="en-US"/>
              </w:rPr>
              <w:t>Allow the amount of R 20 000-00 (Twenty Thousand Rand) for contingency to be used at the discretion of the Principal Agent and deducted in whole or in part if not required</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R20,000.00</w:t>
            </w: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sz w:val="20"/>
                <w:szCs w:val="20"/>
                <w:lang w:val="en-US"/>
              </w:rPr>
              <w:t>Preliminaries and General</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sz w:val="20"/>
                <w:szCs w:val="20"/>
                <w:lang w:val="en-US"/>
              </w:rPr>
              <w:t>TOTAL</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sz w:val="20"/>
                <w:szCs w:val="20"/>
                <w:lang w:val="en-US"/>
              </w:rPr>
              <w:t>PLUS 15% VAT</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b/>
                <w:sz w:val="20"/>
                <w:szCs w:val="20"/>
                <w:lang w:val="en-US"/>
              </w:rPr>
            </w:pPr>
            <w:r w:rsidRPr="002D6834">
              <w:rPr>
                <w:rFonts w:ascii="Arial" w:eastAsia="Arial Unicode MS" w:hAnsi="Arial" w:cs="Arial"/>
                <w:sz w:val="20"/>
                <w:szCs w:val="20"/>
                <w:lang w:val="en-US"/>
              </w:rPr>
              <w:t>GRAND TOTAL</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r w:rsidR="002D6834" w:rsidRPr="002D6834" w:rsidTr="002D6834">
        <w:trPr>
          <w:trHeight w:val="378"/>
        </w:trPr>
        <w:tc>
          <w:tcPr>
            <w:tcW w:w="651" w:type="dxa"/>
          </w:tcPr>
          <w:p w:rsidR="002D6834" w:rsidRPr="002D6834" w:rsidRDefault="002D6834" w:rsidP="002D6834">
            <w:pPr>
              <w:rPr>
                <w:rFonts w:ascii="Arial" w:eastAsia="Arial Unicode MS" w:hAnsi="Arial" w:cs="Arial"/>
                <w:sz w:val="20"/>
                <w:szCs w:val="20"/>
                <w:lang w:val="en-US"/>
              </w:rPr>
            </w:pPr>
          </w:p>
        </w:tc>
        <w:tc>
          <w:tcPr>
            <w:tcW w:w="5609" w:type="dxa"/>
          </w:tcPr>
          <w:p w:rsidR="002D6834" w:rsidRPr="002D6834" w:rsidRDefault="002D6834" w:rsidP="002D6834">
            <w:pPr>
              <w:rPr>
                <w:rFonts w:ascii="Arial" w:eastAsia="Arial Unicode MS" w:hAnsi="Arial" w:cs="Arial"/>
                <w:sz w:val="20"/>
                <w:szCs w:val="20"/>
                <w:lang w:val="en-US"/>
              </w:rPr>
            </w:pPr>
            <w:r w:rsidRPr="002D6834">
              <w:rPr>
                <w:rFonts w:ascii="Arial" w:eastAsia="Arial Unicode MS" w:hAnsi="Arial" w:cs="Arial"/>
                <w:sz w:val="20"/>
                <w:szCs w:val="20"/>
                <w:lang w:val="en-US"/>
              </w:rPr>
              <w:t>Estimated time to complete work above</w:t>
            </w:r>
          </w:p>
        </w:tc>
        <w:tc>
          <w:tcPr>
            <w:tcW w:w="856" w:type="dxa"/>
          </w:tcPr>
          <w:p w:rsidR="002D6834" w:rsidRPr="002D6834" w:rsidRDefault="002D6834" w:rsidP="002D6834">
            <w:pPr>
              <w:jc w:val="center"/>
              <w:rPr>
                <w:rFonts w:ascii="Arial" w:eastAsia="Arial Unicode MS" w:hAnsi="Arial" w:cs="Arial"/>
                <w:sz w:val="20"/>
                <w:szCs w:val="20"/>
                <w:lang w:val="en-US"/>
              </w:rPr>
            </w:pPr>
          </w:p>
        </w:tc>
        <w:tc>
          <w:tcPr>
            <w:tcW w:w="921" w:type="dxa"/>
          </w:tcPr>
          <w:p w:rsidR="002D6834" w:rsidRPr="002D6834" w:rsidRDefault="002D6834" w:rsidP="002D6834">
            <w:pPr>
              <w:jc w:val="center"/>
              <w:rPr>
                <w:rFonts w:ascii="Arial" w:eastAsia="Arial Unicode MS" w:hAnsi="Arial" w:cs="Arial"/>
                <w:sz w:val="20"/>
                <w:szCs w:val="20"/>
                <w:lang w:val="en-US"/>
              </w:rPr>
            </w:pPr>
          </w:p>
        </w:tc>
        <w:tc>
          <w:tcPr>
            <w:tcW w:w="1504" w:type="dxa"/>
          </w:tcPr>
          <w:p w:rsidR="002D6834" w:rsidRPr="002D6834" w:rsidRDefault="002D6834" w:rsidP="002D6834">
            <w:pPr>
              <w:rPr>
                <w:rFonts w:ascii="Arial" w:eastAsia="Arial Unicode MS" w:hAnsi="Arial" w:cs="Arial"/>
                <w:sz w:val="20"/>
                <w:szCs w:val="20"/>
                <w:lang w:val="en-US"/>
              </w:rPr>
            </w:pPr>
          </w:p>
        </w:tc>
        <w:tc>
          <w:tcPr>
            <w:tcW w:w="1641" w:type="dxa"/>
          </w:tcPr>
          <w:p w:rsidR="002D6834" w:rsidRPr="002D6834" w:rsidRDefault="002D6834" w:rsidP="002D6834">
            <w:pPr>
              <w:rPr>
                <w:rFonts w:ascii="Arial" w:eastAsia="Arial Unicode MS" w:hAnsi="Arial" w:cs="Arial"/>
                <w:sz w:val="20"/>
                <w:szCs w:val="20"/>
                <w:lang w:val="en-US"/>
              </w:rPr>
            </w:pPr>
          </w:p>
        </w:tc>
      </w:tr>
    </w:tbl>
    <w:p w:rsidR="002D6834" w:rsidRPr="002D6834" w:rsidRDefault="002D6834" w:rsidP="00CA0571">
      <w:pPr>
        <w:rPr>
          <w:rFonts w:ascii="Verdana" w:eastAsia="Arial Unicode MS" w:hAnsi="Verdana" w:cs="Arial"/>
          <w:b/>
          <w:sz w:val="20"/>
          <w:szCs w:val="20"/>
          <w:lang w:val="en-US"/>
        </w:rPr>
      </w:pPr>
    </w:p>
    <w:p w:rsidR="002D6834" w:rsidRPr="002D6834" w:rsidRDefault="002D6834" w:rsidP="00CA0571">
      <w:pPr>
        <w:rPr>
          <w:rFonts w:ascii="Verdana" w:eastAsia="Arial Unicode MS" w:hAnsi="Verdana" w:cs="Arial"/>
          <w:b/>
          <w:sz w:val="20"/>
          <w:szCs w:val="20"/>
          <w:lang w:val="en-US"/>
        </w:rPr>
      </w:pPr>
    </w:p>
    <w:p w:rsidR="002D6834" w:rsidRPr="002D6834" w:rsidRDefault="002D6834" w:rsidP="00CA0571">
      <w:pPr>
        <w:rPr>
          <w:rFonts w:ascii="Verdana" w:eastAsia="Arial Unicode MS" w:hAnsi="Verdana" w:cs="Arial"/>
          <w:b/>
          <w:sz w:val="20"/>
          <w:szCs w:val="20"/>
          <w:lang w:val="en-US"/>
        </w:rPr>
      </w:pPr>
    </w:p>
    <w:p w:rsidR="002D6834" w:rsidRPr="002D6834" w:rsidRDefault="002D6834" w:rsidP="00CA0571">
      <w:pPr>
        <w:rPr>
          <w:rFonts w:ascii="Verdana" w:eastAsia="Arial Unicode MS" w:hAnsi="Verdana" w:cs="Arial"/>
          <w:b/>
          <w:sz w:val="20"/>
          <w:szCs w:val="20"/>
          <w:lang w:val="en-US"/>
        </w:rPr>
      </w:pPr>
    </w:p>
    <w:p w:rsidR="002D6834" w:rsidRPr="002D6834" w:rsidRDefault="002D6834" w:rsidP="00CA0571">
      <w:pPr>
        <w:rPr>
          <w:rFonts w:ascii="Verdana" w:eastAsia="Arial Unicode MS" w:hAnsi="Verdana" w:cs="Arial"/>
          <w:b/>
          <w:sz w:val="20"/>
          <w:szCs w:val="20"/>
          <w:lang w:val="en-US"/>
        </w:rPr>
      </w:pPr>
    </w:p>
    <w:p w:rsidR="002D6834" w:rsidRPr="002D6834" w:rsidRDefault="002D6834" w:rsidP="00CA0571">
      <w:pPr>
        <w:rPr>
          <w:rFonts w:ascii="Verdana" w:eastAsia="Arial Unicode MS" w:hAnsi="Verdana" w:cs="Arial"/>
          <w:b/>
          <w:sz w:val="20"/>
          <w:szCs w:val="20"/>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2D6834" w:rsidRDefault="002D6834"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CB1137" w:rsidRDefault="00CB1137" w:rsidP="00BB5821">
      <w:pPr>
        <w:rPr>
          <w:rFonts w:ascii="Arial" w:eastAsia="Arial Unicode MS" w:hAnsi="Arial" w:cs="Arial"/>
          <w:b/>
          <w:lang w:val="en-US"/>
        </w:rPr>
      </w:pPr>
    </w:p>
    <w:p w:rsidR="00CB1137" w:rsidRDefault="00CB1137" w:rsidP="00BB5821">
      <w:pPr>
        <w:rPr>
          <w:rFonts w:ascii="Arial" w:eastAsia="Arial Unicode MS" w:hAnsi="Arial" w:cs="Arial"/>
          <w:b/>
          <w:lang w:val="en-US"/>
        </w:rPr>
      </w:pPr>
    </w:p>
    <w:p w:rsidR="00983E9A" w:rsidRDefault="00983E9A" w:rsidP="00BB5821">
      <w:pPr>
        <w:rPr>
          <w:rFonts w:ascii="Arial" w:eastAsia="Arial Unicode MS" w:hAnsi="Arial" w:cs="Arial"/>
          <w:b/>
          <w:lang w:val="en-US"/>
        </w:rPr>
      </w:pPr>
    </w:p>
    <w:p w:rsidR="00CB1137" w:rsidRDefault="00CB1137"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722"/>
        <w:gridCol w:w="2430"/>
        <w:gridCol w:w="2634"/>
      </w:tblGrid>
      <w:tr w:rsidR="00BB5821" w:rsidRPr="00D263C8" w:rsidTr="00F77643">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722"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430"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F7764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722"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D351AC">
              <w:rPr>
                <w:rFonts w:ascii="Verdana" w:eastAsia="Arial Unicode MS" w:hAnsi="Verdana" w:cs="Arial"/>
                <w:sz w:val="20"/>
                <w:szCs w:val="20"/>
                <w:lang w:val="en-US"/>
              </w:rPr>
              <w:t xml:space="preserve"> provide proof grading level 2GB</w:t>
            </w:r>
            <w:r w:rsidRPr="002926FF">
              <w:rPr>
                <w:rFonts w:ascii="Verdana" w:eastAsia="Arial Unicode MS" w:hAnsi="Verdana" w:cs="Arial"/>
                <w:sz w:val="20"/>
                <w:szCs w:val="20"/>
                <w:lang w:val="en-US"/>
              </w:rPr>
              <w:t>)</w:t>
            </w:r>
          </w:p>
        </w:tc>
        <w:tc>
          <w:tcPr>
            <w:tcW w:w="2430"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F7764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722"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w:t>
            </w:r>
            <w:r w:rsidR="00F77643">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less than R50 000 </w:t>
            </w:r>
            <w:r w:rsidR="00232616">
              <w:rPr>
                <w:rFonts w:ascii="Verdana" w:eastAsia="Arial Unicode MS" w:hAnsi="Verdana" w:cs="Arial"/>
                <w:sz w:val="20"/>
                <w:szCs w:val="20"/>
                <w:lang w:val="en-US"/>
              </w:rPr>
              <w:t>(Bidder who does not provide proof will be disqualified)</w:t>
            </w:r>
          </w:p>
        </w:tc>
        <w:tc>
          <w:tcPr>
            <w:tcW w:w="2430"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F7764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722"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w:t>
            </w:r>
            <w:r w:rsidR="00F77643">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R50 000 but less than R100 000 </w:t>
            </w:r>
            <w:r w:rsidR="00232616">
              <w:rPr>
                <w:rFonts w:ascii="Verdana" w:eastAsia="Arial Unicode MS" w:hAnsi="Verdana" w:cs="Arial"/>
                <w:sz w:val="20"/>
                <w:szCs w:val="20"/>
                <w:lang w:val="en-US"/>
              </w:rPr>
              <w:t>(Bidder who does not provide proof will be disqualified)</w:t>
            </w:r>
          </w:p>
        </w:tc>
        <w:tc>
          <w:tcPr>
            <w:tcW w:w="2430"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F77643">
        <w:tc>
          <w:tcPr>
            <w:tcW w:w="673"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722"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w:t>
            </w:r>
            <w:r w:rsidR="00F77643">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430"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600168023"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5B" w:rsidRDefault="0026555B">
      <w:r>
        <w:separator/>
      </w:r>
    </w:p>
    <w:p w:rsidR="0026555B" w:rsidRDefault="0026555B"/>
  </w:endnote>
  <w:endnote w:type="continuationSeparator" w:id="0">
    <w:p w:rsidR="0026555B" w:rsidRDefault="0026555B">
      <w:r>
        <w:continuationSeparator/>
      </w:r>
    </w:p>
    <w:p w:rsidR="0026555B" w:rsidRDefault="00265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EB" w:rsidRDefault="006E55EB"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6E55EB" w:rsidRDefault="006E55EB"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6E55EB" w:rsidRPr="00487022" w:rsidTr="007D7EDE">
      <w:trPr>
        <w:trHeight w:val="182"/>
        <w:jc w:val="center"/>
      </w:trPr>
      <w:tc>
        <w:tcPr>
          <w:tcW w:w="3373" w:type="dxa"/>
        </w:tcPr>
        <w:p w:rsidR="006E55EB" w:rsidRPr="00487022" w:rsidRDefault="006E55EB" w:rsidP="007F654A">
          <w:pPr>
            <w:pStyle w:val="Footer"/>
            <w:tabs>
              <w:tab w:val="clear" w:pos="4153"/>
              <w:tab w:val="clear" w:pos="8306"/>
            </w:tabs>
            <w:ind w:right="360"/>
            <w:rPr>
              <w:rFonts w:ascii="Verdana" w:hAnsi="Verdana" w:cs="Arial"/>
              <w:sz w:val="16"/>
              <w:szCs w:val="16"/>
            </w:rPr>
          </w:pPr>
        </w:p>
      </w:tc>
      <w:tc>
        <w:tcPr>
          <w:tcW w:w="2861" w:type="dxa"/>
        </w:tcPr>
        <w:p w:rsidR="006E55EB" w:rsidRPr="00487022" w:rsidRDefault="006E55EB"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6E55EB" w:rsidRPr="00487022" w:rsidRDefault="006E55EB"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9B6E7F">
            <w:rPr>
              <w:rStyle w:val="PageNumber"/>
              <w:rFonts w:ascii="Verdana" w:hAnsi="Verdana" w:cs="Arial"/>
              <w:noProof/>
              <w:sz w:val="16"/>
              <w:szCs w:val="16"/>
            </w:rPr>
            <w:t>2</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9B6E7F">
            <w:rPr>
              <w:rStyle w:val="PageNumber"/>
              <w:rFonts w:ascii="Verdana" w:hAnsi="Verdana" w:cs="Arial"/>
              <w:noProof/>
              <w:sz w:val="16"/>
              <w:szCs w:val="16"/>
            </w:rPr>
            <w:t>2</w:t>
          </w:r>
          <w:r w:rsidRPr="00D27B11">
            <w:rPr>
              <w:rStyle w:val="PageNumber"/>
              <w:rFonts w:ascii="Verdana" w:hAnsi="Verdana" w:cs="Arial"/>
              <w:sz w:val="16"/>
              <w:szCs w:val="16"/>
            </w:rPr>
            <w:fldChar w:fldCharType="end"/>
          </w:r>
        </w:p>
      </w:tc>
    </w:tr>
  </w:tbl>
  <w:p w:rsidR="006E55EB" w:rsidRDefault="006E55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5B" w:rsidRDefault="0026555B">
      <w:r>
        <w:separator/>
      </w:r>
    </w:p>
    <w:p w:rsidR="0026555B" w:rsidRDefault="0026555B"/>
  </w:footnote>
  <w:footnote w:type="continuationSeparator" w:id="0">
    <w:p w:rsidR="0026555B" w:rsidRDefault="0026555B">
      <w:r>
        <w:continuationSeparator/>
      </w:r>
    </w:p>
    <w:p w:rsidR="0026555B" w:rsidRDefault="0026555B"/>
  </w:footnote>
  <w:footnote w:id="1">
    <w:p w:rsidR="006E55EB" w:rsidRDefault="006E55EB" w:rsidP="00D96BA4">
      <w:pPr>
        <w:tabs>
          <w:tab w:val="left" w:pos="-963"/>
          <w:tab w:val="left" w:pos="-720"/>
          <w:tab w:val="left" w:pos="900"/>
          <w:tab w:val="left" w:pos="1215"/>
          <w:tab w:val="left" w:pos="2250"/>
          <w:tab w:val="left" w:pos="7363"/>
        </w:tabs>
      </w:pPr>
    </w:p>
    <w:p w:rsidR="006E55EB" w:rsidRDefault="006E55EB" w:rsidP="00D96BA4">
      <w:pPr>
        <w:tabs>
          <w:tab w:val="left" w:pos="-963"/>
          <w:tab w:val="left" w:pos="-720"/>
          <w:tab w:val="left" w:pos="900"/>
          <w:tab w:val="left" w:pos="1215"/>
          <w:tab w:val="left" w:pos="2250"/>
          <w:tab w:val="left" w:pos="7363"/>
        </w:tabs>
      </w:pPr>
    </w:p>
    <w:p w:rsidR="006E55EB" w:rsidRPr="00960C0A" w:rsidRDefault="006E55EB"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6E55EB" w:rsidRDefault="006E55EB"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6E55EB" w:rsidRDefault="006E55EB"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6E55EB" w:rsidRDefault="006E55EB"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6E55EB" w:rsidRDefault="006E55EB"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6E55EB" w:rsidRPr="00175032" w:rsidRDefault="006E55EB" w:rsidP="00776112">
      <w:pPr>
        <w:numPr>
          <w:ilvl w:val="0"/>
          <w:numId w:val="24"/>
        </w:numPr>
        <w:tabs>
          <w:tab w:val="left" w:pos="709"/>
        </w:tabs>
        <w:ind w:left="709" w:hanging="567"/>
        <w:jc w:val="both"/>
        <w:rPr>
          <w:sz w:val="16"/>
          <w:szCs w:val="16"/>
        </w:rPr>
      </w:pPr>
      <w:r w:rsidRPr="00960C0A">
        <w:rPr>
          <w:sz w:val="16"/>
          <w:szCs w:val="16"/>
        </w:rPr>
        <w:t>Parliament.</w:t>
      </w:r>
    </w:p>
    <w:p w:rsidR="006E55EB" w:rsidRPr="00960C0A" w:rsidRDefault="006E55EB"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5EB" w:rsidRDefault="006E55EB"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1DD4"/>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555B"/>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6834"/>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5EB"/>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E7F"/>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643"/>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7633-45A3-48A4-8B98-F5F75612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16459</Words>
  <Characters>93822</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110061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2017-07-10T07:20:00Z</cp:lastPrinted>
  <dcterms:created xsi:type="dcterms:W3CDTF">2018-10-04T12:21:00Z</dcterms:created>
  <dcterms:modified xsi:type="dcterms:W3CDTF">2018-10-04T12:21:00Z</dcterms:modified>
</cp:coreProperties>
</file>